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3" w:beforeLines="100" w:line="600" w:lineRule="exact"/>
        <w:contextualSpacing w:val="0"/>
        <w:jc w:val="center"/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盐城市盐都区人民政府办公室</w:t>
      </w:r>
    </w:p>
    <w:p>
      <w:pPr>
        <w:spacing w:before="0" w:beforeLines="0" w:line="600" w:lineRule="exact"/>
        <w:contextualSpacing w:val="0"/>
        <w:jc w:val="center"/>
        <w:rPr>
          <w:rFonts w:hint="eastAsia" w:ascii="Times New Roman" w:hAnsi="Times New Roman" w:eastAsia="方正小标宋_GBK" w:cs="Times New Roman"/>
          <w:w w:val="10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w w:val="100"/>
          <w:sz w:val="44"/>
          <w:szCs w:val="44"/>
        </w:rPr>
        <w:t>关于进一步加强质量强区建设的实施意见</w:t>
      </w:r>
    </w:p>
    <w:p>
      <w:pPr>
        <w:spacing w:line="590" w:lineRule="exact"/>
        <w:ind w:firstLine="0" w:firstLineChars="0"/>
        <w:contextualSpacing w:val="0"/>
        <w:jc w:val="center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bidi="en-US"/>
        </w:rPr>
        <w:t>（征求意见稿）</w:t>
      </w:r>
      <w:bookmarkStart w:id="0" w:name="_GoBack"/>
      <w:bookmarkEnd w:id="0"/>
    </w:p>
    <w:p>
      <w:pPr>
        <w:spacing w:line="590" w:lineRule="exact"/>
        <w:ind w:firstLine="0" w:firstLineChars="0"/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 w:bidi="en-US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各镇（街道）人民政府（办事处），盐城高新区、大纵湖旅游度假区、台湾农民创业园，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区相关部门、单位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：</w:t>
      </w:r>
    </w:p>
    <w:p>
      <w:pPr>
        <w:adjustRightInd/>
        <w:snapToGrid/>
        <w:spacing w:before="0" w:line="590" w:lineRule="exact"/>
        <w:ind w:left="0"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为全面落实省市质量大会精神，按照《盐城市关于进一步加强质量强市建设的实施意见》和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委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政府对质量工作的新要求，进一步实施质量强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战略，夯实质量基础，培育质量品牌，推动质量提升，助力我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经济社会高质量发展，特提出如下意见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。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黑体_GBK" w:cs="Times New Roman"/>
          <w:bCs w:val="0"/>
          <w:color w:val="auto"/>
          <w:kern w:val="2"/>
          <w:sz w:val="34"/>
          <w:szCs w:val="32"/>
        </w:rPr>
      </w:pPr>
      <w:r>
        <w:rPr>
          <w:rFonts w:hint="eastAsia" w:ascii="Times New Roman" w:hAnsi="Times New Roman" w:eastAsia="方正黑体_GBK" w:cs="Times New Roman"/>
          <w:bCs w:val="0"/>
          <w:color w:val="auto"/>
          <w:kern w:val="2"/>
          <w:sz w:val="34"/>
          <w:szCs w:val="32"/>
        </w:rPr>
        <w:t>一、指导思想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以习近平新时代中国特色社会主义思想为指导，全面贯彻落实党的二十大会议精神，立足新发展阶段，贯彻新发展理念，构建新发展格局，锚定</w:t>
      </w:r>
      <w:r>
        <w:rPr>
          <w:rFonts w:hint="eastAsia" w:ascii="Times New Roman" w:hAnsi="Times New Roman" w:eastAsia="方正仿宋_GBK" w:cs="Times New Roman"/>
          <w:snapToGrid/>
          <w:color w:val="auto"/>
          <w:sz w:val="34"/>
          <w:szCs w:val="32"/>
        </w:rPr>
        <w:t>“面朝大海向未来，绿色转型作典范”的奋斗目标，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以提高发展质量和效益为中心，以推进供给侧结构性改革为主线，积极推动经济发展质量变革、效率变革、动力变革，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  <w:t>加快推进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  <w:lang w:eastAsia="zh-CN"/>
        </w:rPr>
        <w:t>盐都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  <w:t>质量治理体系和治理能力现代化，推动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  <w:lang w:eastAsia="zh-CN"/>
        </w:rPr>
        <w:t>盐都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  <w:t>质量工作跻身全市先进行列，为勇当高质量发展排头兵、谱写“强富美高”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  <w:lang w:eastAsia="zh-CN"/>
        </w:rPr>
        <w:t>盐都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  <w:t>现代化建设新篇章作出新的更大贡献。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黑体_GBK" w:cs="Times New Roman"/>
          <w:bCs w:val="0"/>
          <w:color w:val="auto"/>
          <w:kern w:val="2"/>
          <w:sz w:val="34"/>
          <w:szCs w:val="32"/>
        </w:rPr>
      </w:pPr>
      <w:r>
        <w:rPr>
          <w:rFonts w:hint="eastAsia" w:ascii="Times New Roman" w:hAnsi="Times New Roman" w:eastAsia="方正黑体_GBK" w:cs="Times New Roman"/>
          <w:bCs w:val="0"/>
          <w:color w:val="auto"/>
          <w:kern w:val="2"/>
          <w:sz w:val="34"/>
          <w:szCs w:val="32"/>
        </w:rPr>
        <w:t>二、主要目标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——质量水平要有新提升。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积极争创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国家级和省级质量工作真抓实干成效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明显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地方。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制造业产品质量合格率达到96%以上，消费品质量合格率达到96.5%以上。公众服务质量满意度稳定在83%以上。所有三级医院电子病历系统应用水平达到4级及以上，其中20%达到5级及以上水平。全区获评1-5级养老机构数占养老机构总数达35%。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——质量品牌要有新突破。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力争5年内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获江苏省省长质量奖(提名奖) 1 个，每年新增盐城市市长质量奖（提名奖）1个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新增“江苏精品”1个以上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新增省级质量信用AA级及以上企业1-2个。力争5年内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鲁班奖实现零突破、国家级优质工程奖项2个及以上，新增扬子杯等省级优质工程、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省级水利文明工地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3个以上。</w:t>
      </w:r>
    </w:p>
    <w:p>
      <w:pPr>
        <w:adjustRightInd/>
        <w:snapToGrid/>
        <w:spacing w:before="0" w:line="590" w:lineRule="exact"/>
        <w:ind w:left="0" w:firstLine="680" w:firstLineChars="200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——质量监管要有新效能。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食品安全抽检量保持7批次/千人以上，合格率保持 98%以上。工业产品生产许可证获证企业监督检查覆盖率100%。重点监控特种设备监管率和严重隐患治理率达到 100％。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  <w:u w:val="none"/>
        </w:rPr>
        <w:t>主要食用农产品质量安全抽检合格率稳定在98％以上。公路、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4"/>
          <w:szCs w:val="32"/>
        </w:rPr>
        <w:t>水运工程质量监督覆盖率100%，新改扩建公路水运工程平安工地建设达标率100%，交通工程质量安全监督检查发现问题整改完成率100%。</w:t>
      </w:r>
    </w:p>
    <w:p>
      <w:pPr>
        <w:adjustRightInd/>
        <w:snapToGrid/>
        <w:spacing w:before="0" w:line="590" w:lineRule="exact"/>
        <w:ind w:left="0"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——质量基础要有新完善。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提升质量基础实施“一站式”服务平台盐城高新区—质量驿站服务质量。每年新增主导和参与制修订国家标准、行业标准、地方标准2项以上、新增认证证书不少于200张，同比增长25%以上。结合我区特色产业，积极参与国家、省级质量标准实验室创建。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黑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黑体_GBK" w:cs="Times New Roman"/>
          <w:bCs w:val="0"/>
          <w:color w:val="auto"/>
          <w:kern w:val="2"/>
          <w:sz w:val="34"/>
          <w:szCs w:val="32"/>
        </w:rPr>
        <w:t>三、主要内容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（一）坚持创新引领，提升产业发展能级</w:t>
      </w:r>
    </w:p>
    <w:p>
      <w:pPr>
        <w:adjustRightInd/>
        <w:snapToGrid/>
        <w:spacing w:before="0" w:line="590" w:lineRule="exact"/>
        <w:ind w:left="0"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.推动科技自主创新。深入实施高新技术企业培育“小升高”行动，构建上下联动、共同参与、全面推进的高新技术企业培育工作格局。进一步优化认定管理操作流程，提供便利化服务，鼓励和支持更多科技型企业认定高新技术企业，壮大高新技术企业集群。实施质量攻关、质量比对、质量合格率提升三大工程，着力解决制约质量提升的关键共性技术。加强关键共性技术成果转化，重点围绕市23个产业链，组织实施关键技术攻关项目和科技成果转化项目，推动企业加大质量技术创新投入，提升关键材料、核心部件及整机的供给水平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科技局、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工信局、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发改委、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市场监管局，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2.加快企业“智改数转”。紧盯制造业发展需求，强化质量管理数字化赋能，宣传《制造业质量管理数字化实施指南（试行）》，指导企业在产品创新数字化、生产运营智能化、用户服务敏捷化、产业体系生态化等方面，提高质量设计、在线诊断、产品溯源等全生命周期质量管理能力，打造“一站式”数字化认证检测服务平台。研制发布质量管理数字化场景清单，推动企业质量管理数字化创新。在电子制造、机械、汽车等行业推动数据驱动在线、实时制造过程能力测量分析与控制，不断提升质量的稳定性、可靠性、一致性。推动实施可靠性“筑基工程”和“倍增计划”，围绕高档数控机床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终端成品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、新能源和智能网联汽车及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核心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零部件、电子元器件、基础材料等领域，加强可靠性设计和强化试验，沿产业链供应链畅通传递可靠性指标及要求，带动全产业链可靠性提升。〔责任单位：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工信局，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3.强化农产品安全监管。加大新修订的</w:t>
      </w:r>
      <w:r>
        <w:rPr>
          <w:rFonts w:hint="default" w:ascii="Times New Roman" w:hAnsi="Times New Roman" w:eastAsia="方正仿宋_GBK" w:cs="Times New Roman"/>
          <w:color w:val="auto"/>
          <w:sz w:val="34"/>
          <w:szCs w:val="32"/>
        </w:rPr>
        <w:t>《中华人民共和国农产品质量安全法》宣贯力度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，开展农产品质量安全例行监测和监督抽查，每年完成区级定量和定性监测</w:t>
      </w:r>
      <w:r>
        <w:rPr>
          <w:rFonts w:hint="default" w:ascii="Times New Roman" w:hAnsi="Times New Roman" w:eastAsia="方正仿宋_GBK" w:cs="Times New Roman"/>
          <w:color w:val="auto"/>
          <w:sz w:val="34"/>
          <w:szCs w:val="32"/>
          <w:shd w:val="clear" w:color="auto" w:fill="auto"/>
        </w:rPr>
        <w:t>1万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批次以上。</w:t>
      </w:r>
      <w:r>
        <w:rPr>
          <w:rFonts w:hint="default" w:ascii="Times New Roman" w:hAnsi="Times New Roman" w:eastAsia="方正仿宋_GBK" w:cs="Times New Roman"/>
          <w:color w:val="auto"/>
          <w:sz w:val="34"/>
          <w:szCs w:val="32"/>
        </w:rPr>
        <w:t>深入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推进食用农产品“治违禁、控药残、促提升”三年行动。强化农产品质量安全案件查处，及时发现和查处问题。加强粮食质量安全风险监测，加大新收购粮食出入库质量监管，提升粮食质量管理水平。深入推进优质粮食工程，打造优质粮食工程升级版，提升优质粮油供给水平。推进“盐都草莓”江苏精品创建，加大“盐都葡萄”“尚庄番茄”“大纵湖大闸蟹”的</w:t>
      </w:r>
      <w:r>
        <w:rPr>
          <w:rFonts w:hint="default" w:ascii="Times New Roman" w:hAnsi="Times New Roman" w:eastAsia="方正仿宋_GBK" w:cs="Times New Roman"/>
          <w:color w:val="auto"/>
          <w:sz w:val="34"/>
          <w:szCs w:val="32"/>
        </w:rPr>
        <w:t>品牌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建设力度。加大检验监测机构建设，培养粮食检验专业技术人才，提高仪器设备使用效率，提升粮食质量安全检验技术能力，切实保障粮食质量安全。〔责任单位：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区农业农村局、区发改委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4.促进消费品质量提升。围绕提升消费品质量合格率，积极推广应用卓越绩效管理、六西格玛管理、质量统计分析工具应用等先进的质量管理方法，引导企业加强全面质量管理。支持企业质量文化建设，组织开展质量标杆、质量管理小组、质量信得过班组、全面质量管理知识竞赛、“质量月”等群众性质量活动。系统推进制造业质量人才培养，落实企业首席质量官制度，全区规模以上企业覆盖率达80%。开展产品质量技术帮扶行动，深入企业一线“巡回问诊”“对症下药”，解决产业发展通病和企业发展难点、堵点问题。规范缺陷消费品召回管理工作，加快信息监测点布控，探索建立产品质量风险监控制度，对发现的缺陷产品，依法指导企业主动召回，督促企业落实质量主体责任，提升产品质量，保障质量安全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5.实施品牌发展战略。加大“江苏精品”培育力度，争创一批“江苏精品”品牌。指导符合条件的企业争创中国质量奖、江苏省省长质量奖、市长质量奖。积极参与争创省级质量品牌示范基地。积极参与中国工业品牌之旅、品牌故事大赛、品牌创新成果发布等活动。开展品牌管理体系成熟度评价，提高企业品牌建设能力，提升产业竞争力和区域品牌影响力。推动重点行业开展重点产品和产线的质量分级评价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区市场监管局、区发改委、区工信局、区商务局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6.推进质量基础协同服务。适应产业发展需求，建成质量、标准、计量、认证认可、检验检测、知识产权一体化运行的质量基础设施体系，推动质量基础设施互通共享，将“一站式”服务试点扩大至各版块建成分站，精准服务企业质量提升和产业转型升级。全面推进绿色认证，落实省《关于深入推进绿色认证助力绿色低碳发展的意见》，扩大绿色认证供给。开展检验检测服务工业机器人产业链专项行动，制定检验检测服务重点产业链发展若干措施，开展检企对接活动。加强检测试验等共性技术研究，提高技术服务质量水平。支持行业和企业积极参与国际先进标准制定，以先进标准促进质量提升。深入实施“企业研发机构高质量提升计划”，新建一批工程技术研究中心，全面提升企业研发机构水平。进一步推广科技创新券，为科技型中小企业科技创新降低成本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区市场监管局、区科技局、区工信局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7.加强质量安全监管。深入排查食品安全隐患，聚焦重点领域、重点环节、重点主体，防范化解食品安全显性和隐性风险，确保食品安全。完善药品安全议事协调机制，出台药品安全议事协调工作规则。实施在产疫苗企业不定期督查、GMP 符合性检查、派驻检查“三重”管理。加强中药饮片、配方颗粒、特殊药品、儿童及特殊化妆品等产品的监督检查和飞行检查。开展民生领域案件查办“铁拳”行动。加强失信惩戒，依法限制严重质量违法失信企业参与政府采购活动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区市场监管局、区发改委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（二）加强体系建设，推动工程质量升级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8.提升住宅供给质量水平。持续完善工程质量保障体系，进一步落实建设单位工程质量首要责任，扎实推进住宅工程质量信息公示扩大试点工作。深入推动工程质量管理标准化。加强工程质量检测管理和监管，推进实施建设工程质量检测综合报告制度，开展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建设工程质量检测“双随机、一公开”监督检查，严厉打击出具虚假报告等违法行为。积极参加省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、市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建设工程质量检测技能竞赛、检测能力验证、业务培训和经验交流等活动，不断提高检测机构和人员检测能力水平。加大工程质量监督力度，强化质监人员队伍建设。〔责任单位：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区住建局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9.推进建材绿色节能。进一步完善绿色建筑闭合监管机制，新建居住建筑全面执行75%节能标准。推进绿色建材产品采信应用，推动建筑材料循环利用。积极推进装配化装修，提高建筑装修部品部件的质量和安全性能。推广工程建设工厂化生产，加强建筑信息模型技术与建筑工程建设、运营维护深度融合，提升数字建造水平，推进BIM技术在建筑全寿命期的一体化集成应用，推动与城市信息模型（CIM）应用试点工作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区住建局、区工信局、区市场监管局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10.开展交通品质工程建设。开展品质工程样板试点，建立样板推进长效机制。宣贯《江苏省交通建设工程质量安全监督管理条例》。加强交通运输现代化示范区品质交通建设，推进工程建设工业化生产，倡导装配化施工，切实提升全区公路水运工程建设工厂化作业水平。组织参加年度省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、市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级平安百年品质工程创建示范挂牌、创建及考核评价。强化交通工程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质量检查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力度，提升质量监督整体效能。开展公路水运工程“蓝盾”专项系列行动，确保项目交工验收合格率100%。〔责任单位：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区交运局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11.提升水利工程建设质量。全面开展重点水利工程的质量监督和巡查工作。加强对</w:t>
      </w:r>
      <w:r>
        <w:rPr>
          <w:rFonts w:hint="eastAsia" w:ascii="Times New Roman" w:hAnsi="Times New Roman" w:eastAsia="方正仿宋_GBK" w:cs="Times New Roman"/>
          <w:b w:val="0"/>
          <w:bCs w:val="0"/>
          <w:sz w:val="34"/>
          <w:szCs w:val="32"/>
          <w:highlight w:val="none"/>
          <w:u w:val="none"/>
        </w:rPr>
        <w:t>淮河流域重点平原洼地治理工程盐都区境内增补工程项目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等重点水利工程质量巡查，督促工程质量提升。加强对重点水利工程和重点阶段的质量监督检测工作，充分发挥监督检测的数据支撑作用。开展质量安全通病专项治理行动。推动常设专职项目法人组建，指导提升履职能力。组织参加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省、市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水利建设工程质量监督技能“工匠杯”竞赛，以赛代训、以赛促学。根据《江苏省水利工程建设“十四五”质量提升行动计划》，组织参加创优评优工作。争创水利部大禹奖和省优质工程（扬子杯奖）、省级水利文明工地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区水务局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（三）突出标准带动，促进服务业提质增效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12.切实提升养老服务水平。落实《江苏省家庭养老照护床位建设和服务规范》，积极发展家庭养老照护床位，完善建设运营政策。稳步推进居家上门服务，全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接受居家上门服务老年人比例达到16%。健全社区养老服务网络，建成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个面积不少于1000平方米的城市街道“枢纽式”养老服务综合体和10个示范性“长者幸福食堂”。开展居家社区养老服务能力提升三年行动（2022-2024），打造“15 分钟养老服务圈”。积极推进养老机构标准化建设，抓好省级养老机构失智专区设置服务规范的落实。全区35%养老机构完成等级评定，100%养老机构达到服务安全基本规范国家强制标准。〔责任单位：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区民政局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13.切实提升运输服务质量。组织开展“公共交通服务提升年”活动。积极创建国家公交都市、绿色出行城市和省公交优先示范城市，全面推进城乡公交一体化建设，争创城乡公交一体化达标区和农村物流达标区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区交运局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14.切实提升旅游服务质量。实施旅游服务质量提升计划，积极参与全省星级饭店从业人员服务技能大赛；建设一批夜间文化和旅游消费集聚区。开展“护航”专项行动，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加强旅游市场监管，发现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扰乱旅游市场秩序的违法违规行为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上报市文旅局文化市场综合执法支队查处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区文广旅局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15. 切实提升信用服务质量。构建质量增信融资体系，推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动向盐城市县一体化信用信息平台归集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“质量管理体系认证证书”等质量认证信息，建立质量增信融资机制。开展质量奖申报企业资格审查工作，运用省市一体化信用查询平台，配合对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长质量奖等奖项的候选企业的信用情况进行核查，健全完善质量激励制度。推动质量监督管理部门行政处罚信息共享应用，依法依规实施失信惩戒，供金融机构授信参考。〔责任单位：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区发改委、区市场监管局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16.切实提升公共服务质量。依托工业产品质量控制和技术评价实验室，为中小微企业提供高水平质量控制与技术评价服务。深入开展小微企业质量管理体系认证提升行动。加快推进基本公共服务标准化建设，落实《江苏省基本公共服务实施标准（2021年版）》，推动出台基本公共服务标准，以标准化推进基本公共服务均等化，加强基本公共服务标准实施效果评估。利用产业基础再造、公共服务平台建设等项目进行能力升级，开展技术研究，实施技术攻关，形成有效质量可靠性解决方案，提高可靠性综合公共服务能力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区发改委、区工信局、区市场监管局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（四）强化基础支撑，提升社会治理水平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提升生态环境质量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。打好大气污染防治攻坚战，继续降低大气污染物排放总量，降低PM2.5浓度，提升优良天数比率，保障空气质量。深入打好水污染防治攻坚战，推进城镇区域水污染物平衡核算管理。开展涉酚企业专项整治行动；加强工业企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污水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排口管理；开展排涝泵站拦蓄污水整治专项行动。深入实施净土保卫战，开展农用地土壤镉等重金属源头防控行动，加强土壤污染重点单位监管，动态更新名录。〔责任单位：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区生态环境局、区水务局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.严守安全生产底线。加强《有限空间作业安全操作规范》《安全发展示范城市创建基本规范》宣贯培训，持续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助力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安全生产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高质量发展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区应急局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19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加强版权执法监管。加大版权执法监管力度，严厉打击侵权盗版行为，提升版权管网治网能力，推进构建版权社会共治工作格局。实施打击网络侵权盗版集中办案周行动，按照行动筹备、集中办案、落地查人、行动总结等四个阶段分步推进实施，打击互联网领域侵权盗版行为，推动文化经济高质量发展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区委宣传部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各镇（街道）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人民政府（办事处），盐城高新区、大纵湖旅游度假区、台湾农民创业园〕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（五）落实保障措施，推动质量强</w:t>
      </w:r>
      <w:r>
        <w:rPr>
          <w:rFonts w:hint="eastAsia" w:ascii="Times New Roman" w:hAnsi="Times New Roman" w:eastAsia="方正楷体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楷体_GBK" w:cs="Times New Roman"/>
          <w:color w:val="auto"/>
          <w:sz w:val="34"/>
          <w:szCs w:val="32"/>
        </w:rPr>
        <w:t>建设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.强化组织协调。强化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质量发展委员会统一领导，加大质量发展委员会办公室统筹协调力度，建立健全联席会议制度，定期召开联席会议及联络员会议，强力推动年度质量工作落地生根，努力构建“党委领导、政府主导、部门联合、企业主责、社会参与”的质量工作格局。组织召开质量大会，深入推进质量强区建设，切实提升质量总体水平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区质量发展委员会各成员单位、区市场监管局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强化经费保障。进一步加强质量强区、市场监管及技术能力建设、药品安全监管等专项资金管理，支持推动质量认证、标准化引领、计量及检验检测能力建设、食品药品安全监管等工作开展。发挥中国质量奖、省长质量奖、市长质量奖、江苏精品等质量品牌建设、标准化建设政策激励作用，修订完善区长质量奖管理办法。发挥普惠金融发展风险补偿基金政策功能，扩大小微贷、苏科贷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、苏质贷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等投放规模，着力降低企业融资门槛和融资成本。贯彻落实《政府购买服务管理办法》（财政部令第102 号），积极开展政府购买服务第三方绩效评价，不断提升政府购买服务质效。加强政府采购活动中信用信息的查询和应用，强化与相关领域的失信联合惩戒。〔责任单位：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区财政局、区市场监管局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〕</w:t>
      </w:r>
    </w:p>
    <w:p>
      <w:pPr>
        <w:adjustRightInd/>
        <w:snapToGrid/>
        <w:spacing w:line="590" w:lineRule="exact"/>
        <w:ind w:firstLine="680" w:firstLineChars="200"/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.强化宣传报道。指导区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融媒体中心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加强质量工作宣传。围绕质量工作、稳产保供、质量抽检、质量强区建设等内容，及时跟进采访，深入报道盐都的丰富实践、重大成就和先进典型，讲好质量故事，推介盐都质量品牌产品，塑造质量形象，营造良好氛围。开展质量公益宣传，丰富质量文化内涵，促进质量文化传承发展。〔责任单位：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  <w:lang w:eastAsia="zh-CN"/>
        </w:rPr>
        <w:t>区委宣传部</w:t>
      </w:r>
      <w:r>
        <w:rPr>
          <w:rFonts w:hint="eastAsia" w:ascii="Times New Roman" w:hAnsi="Times New Roman" w:eastAsia="方正仿宋_GBK" w:cs="Times New Roman"/>
          <w:color w:val="auto"/>
          <w:sz w:val="34"/>
          <w:szCs w:val="32"/>
        </w:rPr>
        <w:t>〕</w:t>
      </w:r>
    </w:p>
    <w:sectPr>
      <w:footerReference r:id="rId3" w:type="default"/>
      <w:footerReference r:id="rId4" w:type="even"/>
      <w:pgSz w:w="11906" w:h="16838"/>
      <w:pgMar w:top="2098" w:right="1531" w:bottom="1701" w:left="1531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1" w:fontKey="{60B8399D-7870-42FE-BF78-260C4F823D7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D9405CCA-FB4D-461B-89CA-C8B17126A5CF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087C51B-149C-4B13-B1C6-DA5B44AB843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A793732-73BB-4CA9-B1C7-FB494683DC9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8C944903-285B-4F6D-986F-2873F30A8DB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 </w:t>
    </w:r>
    <w:sdt>
      <w:sdtPr>
        <w:rPr>
          <w:rFonts w:ascii="Times New Roman" w:hAnsi="Times New Roman" w:cs="Times New Roman"/>
          <w:sz w:val="28"/>
          <w:szCs w:val="28"/>
        </w:rPr>
        <w:id w:val="-1667548951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 —</w:t>
        </w:r>
        <w:r>
          <w:rPr>
            <w:rFonts w:hint="eastAsia" w:ascii="Times New Roman" w:hAnsi="Times New Roman" w:cs="Times New Roman"/>
            <w:sz w:val="28"/>
            <w:szCs w:val="28"/>
            <w:lang w:val="en-US" w:eastAsia="zh-CN"/>
          </w:rPr>
          <w:t xml:space="preserve">  </w:t>
        </w:r>
      </w:sdtContent>
    </w:sdt>
  </w:p>
  <w:p>
    <w:pPr>
      <w:pStyle w:val="2"/>
    </w:pP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— </w:t>
    </w:r>
    <w:sdt>
      <w:sdtPr>
        <w:rPr>
          <w:rFonts w:ascii="Times New Roman" w:hAnsi="Times New Roman" w:cs="Times New Roman"/>
          <w:sz w:val="28"/>
          <w:szCs w:val="28"/>
        </w:rPr>
        <w:id w:val="-1409920357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18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 —</w:t>
        </w:r>
      </w:sdtContent>
    </w:sdt>
  </w:p>
  <w:p>
    <w:pPr>
      <w:pStyle w:val="2"/>
    </w:pP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zVhNjYzMDVhMWY3MTY1YTRkOTFkZDYzZDViYzQifQ=="/>
  </w:docVars>
  <w:rsids>
    <w:rsidRoot w:val="003C0FC4"/>
    <w:rsid w:val="000301F3"/>
    <w:rsid w:val="000F20C8"/>
    <w:rsid w:val="001203A9"/>
    <w:rsid w:val="001B0F0A"/>
    <w:rsid w:val="00212C96"/>
    <w:rsid w:val="00222568"/>
    <w:rsid w:val="00396354"/>
    <w:rsid w:val="003C0FC4"/>
    <w:rsid w:val="003E6C14"/>
    <w:rsid w:val="0044141C"/>
    <w:rsid w:val="0046279A"/>
    <w:rsid w:val="004F07DE"/>
    <w:rsid w:val="005267C9"/>
    <w:rsid w:val="005A5AC5"/>
    <w:rsid w:val="005B65E7"/>
    <w:rsid w:val="0060008A"/>
    <w:rsid w:val="006226C0"/>
    <w:rsid w:val="00643E9E"/>
    <w:rsid w:val="006D1D98"/>
    <w:rsid w:val="00725B10"/>
    <w:rsid w:val="007459D5"/>
    <w:rsid w:val="00780F85"/>
    <w:rsid w:val="00820DD9"/>
    <w:rsid w:val="008A4085"/>
    <w:rsid w:val="008E32E6"/>
    <w:rsid w:val="00A034A2"/>
    <w:rsid w:val="00AD79C4"/>
    <w:rsid w:val="00C32309"/>
    <w:rsid w:val="00CC7153"/>
    <w:rsid w:val="00D222D4"/>
    <w:rsid w:val="00DE09BB"/>
    <w:rsid w:val="00E36559"/>
    <w:rsid w:val="00E717B2"/>
    <w:rsid w:val="00EA0088"/>
    <w:rsid w:val="00F878E8"/>
    <w:rsid w:val="0BB835E9"/>
    <w:rsid w:val="0CBD21BE"/>
    <w:rsid w:val="0E77343D"/>
    <w:rsid w:val="169318CC"/>
    <w:rsid w:val="1BCB56EC"/>
    <w:rsid w:val="248B5047"/>
    <w:rsid w:val="25CC09D2"/>
    <w:rsid w:val="2C181D6B"/>
    <w:rsid w:val="330D027A"/>
    <w:rsid w:val="36EB51B0"/>
    <w:rsid w:val="3AA46711"/>
    <w:rsid w:val="459308C3"/>
    <w:rsid w:val="507324C8"/>
    <w:rsid w:val="50B938FF"/>
    <w:rsid w:val="513B1B51"/>
    <w:rsid w:val="54683C4E"/>
    <w:rsid w:val="55836093"/>
    <w:rsid w:val="59377056"/>
    <w:rsid w:val="5C48579D"/>
    <w:rsid w:val="66FE2A23"/>
    <w:rsid w:val="7B5814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sz w:val="24"/>
      <w:szCs w:val="22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Body text|1_"/>
    <w:basedOn w:val="6"/>
    <w:link w:val="10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0">
    <w:name w:val="Body text|1"/>
    <w:basedOn w:val="1"/>
    <w:link w:val="9"/>
    <w:qFormat/>
    <w:uiPriority w:val="0"/>
    <w:pPr>
      <w:spacing w:after="470" w:line="384" w:lineRule="auto"/>
      <w:ind w:firstLine="400"/>
      <w:jc w:val="left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1">
    <w:name w:val="页眉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6847</Words>
  <Characters>6963</Characters>
  <Lines>47</Lines>
  <Paragraphs>13</Paragraphs>
  <TotalTime>0</TotalTime>
  <ScaleCrop>false</ScaleCrop>
  <LinksUpToDate>false</LinksUpToDate>
  <CharactersWithSpaces>6971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2022-09-22T06:49:00Z</dcterms:created>
  <dc:creator>CJ</dc:creator>
  <cp:lastModifiedBy>月夜風</cp:lastModifiedBy>
  <cp:lastPrinted>2023-04-27T02:00:00Z</cp:lastPrinted>
  <dcterms:modified xsi:type="dcterms:W3CDTF">2023-04-28T09:27:39Z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B06BDBA51A77421698F2B8AD640C1C97_13</vt:lpwstr>
  </property>
</Properties>
</file>