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332D8">
      <w:pPr>
        <w:spacing w:line="560" w:lineRule="exact"/>
        <w:jc w:val="center"/>
        <w:rPr>
          <w:rFonts w:hint="eastAsia" w:ascii="Times New Roman" w:hAnsi="Times New Roman" w:eastAsia="方正小标宋_GBK" w:cs="Times New Roman"/>
          <w:sz w:val="44"/>
          <w:szCs w:val="44"/>
          <w:lang w:val="en-US" w:eastAsia="zh-CN" w:bidi="zh-TW"/>
        </w:rPr>
      </w:pPr>
      <w:r>
        <w:rPr>
          <w:rFonts w:ascii="Times New Roman" w:hAnsi="Times New Roman" w:eastAsia="方正小标宋_GBK" w:cs="Times New Roman"/>
          <w:sz w:val="44"/>
          <w:szCs w:val="44"/>
          <w:lang w:bidi="zh-TW"/>
        </w:rPr>
        <w:t>盐城市盐都区村级集体企业</w:t>
      </w:r>
      <w:r>
        <w:rPr>
          <w:rFonts w:hint="eastAsia" w:ascii="Times New Roman" w:hAnsi="Times New Roman" w:eastAsia="方正小标宋_GBK" w:cs="Times New Roman"/>
          <w:sz w:val="44"/>
          <w:szCs w:val="44"/>
          <w:lang w:val="en-US" w:eastAsia="zh-CN" w:bidi="zh-TW"/>
        </w:rPr>
        <w:t>财务</w:t>
      </w:r>
      <w:r>
        <w:rPr>
          <w:rFonts w:ascii="Times New Roman" w:hAnsi="Times New Roman" w:eastAsia="方正小标宋_GBK" w:cs="Times New Roman"/>
          <w:sz w:val="44"/>
          <w:szCs w:val="44"/>
          <w:lang w:bidi="zh-TW"/>
        </w:rPr>
        <w:t>管理</w:t>
      </w:r>
      <w:r>
        <w:rPr>
          <w:rFonts w:hint="eastAsia" w:ascii="Times New Roman" w:hAnsi="Times New Roman" w:eastAsia="方正小标宋_GBK" w:cs="Times New Roman"/>
          <w:sz w:val="44"/>
          <w:szCs w:val="44"/>
          <w:lang w:val="en-US" w:eastAsia="zh-CN" w:bidi="zh-TW"/>
        </w:rPr>
        <w:t>制度</w:t>
      </w:r>
    </w:p>
    <w:p w14:paraId="2784E2A9">
      <w:pPr>
        <w:widowControl w:val="0"/>
        <w:spacing w:before="33" w:after="100" w:afterAutospacing="1"/>
        <w:ind w:left="101" w:firstLine="440" w:firstLineChars="100"/>
        <w:jc w:val="center"/>
        <w:rPr>
          <w:rFonts w:hint="eastAsia" w:ascii="宋体" w:hAnsi="宋体" w:eastAsia="仿宋_GB2312" w:cs="Times New Roman"/>
          <w:kern w:val="2"/>
          <w:sz w:val="32"/>
          <w:szCs w:val="32"/>
          <w:lang w:val="en-US" w:eastAsia="zh-CN" w:bidi="ar-SA"/>
        </w:rPr>
      </w:pPr>
      <w:r>
        <w:rPr>
          <w:rFonts w:hint="eastAsia" w:ascii="Times New Roman" w:hAnsi="Times New Roman" w:eastAsia="方正小标宋_GBK" w:cs="Times New Roman"/>
          <w:kern w:val="2"/>
          <w:sz w:val="44"/>
          <w:szCs w:val="44"/>
          <w:lang w:val="en-US" w:eastAsia="zh-CN" w:bidi="zh-TW"/>
        </w:rPr>
        <w:t>（征求意见稿）</w:t>
      </w:r>
    </w:p>
    <w:p w14:paraId="0A1ACB81">
      <w:pPr>
        <w:spacing w:line="580" w:lineRule="exact"/>
        <w:jc w:val="center"/>
        <w:rPr>
          <w:rFonts w:ascii="Times New Roman" w:hAnsi="Times New Roman" w:eastAsia="方正仿宋_GBK" w:cs="Times New Roman"/>
          <w:b/>
          <w:bCs/>
          <w:sz w:val="32"/>
          <w:szCs w:val="32"/>
        </w:rPr>
      </w:pPr>
    </w:p>
    <w:p w14:paraId="142400DB">
      <w:pPr>
        <w:numPr>
          <w:ilvl w:val="0"/>
          <w:numId w:val="0"/>
        </w:numPr>
        <w:spacing w:line="580" w:lineRule="exact"/>
        <w:jc w:val="center"/>
        <w:rPr>
          <w:rFonts w:ascii="Calibri" w:hAnsi="Calibri" w:eastAsia="仿宋_GB2312" w:cs="Times New Roman"/>
          <w:sz w:val="32"/>
          <w:szCs w:val="22"/>
        </w:rPr>
      </w:pPr>
      <w:r>
        <w:rPr>
          <w:rFonts w:hint="eastAsia" w:ascii="方正黑体_GBK" w:hAnsi="方正黑体_GBK" w:eastAsia="方正黑体_GBK" w:cs="方正黑体_GBK"/>
          <w:kern w:val="2"/>
          <w:sz w:val="32"/>
          <w:szCs w:val="22"/>
          <w:lang w:val="en-US" w:eastAsia="zh-CN" w:bidi="ar-SA"/>
        </w:rPr>
        <w:t xml:space="preserve">第一章 </w:t>
      </w:r>
      <w:r>
        <w:rPr>
          <w:rFonts w:hint="eastAsia" w:ascii="Times New Roman" w:hAnsi="Times New Roman" w:eastAsia="方正黑体_GBK" w:cs="Times New Roman"/>
          <w:sz w:val="32"/>
          <w:szCs w:val="32"/>
        </w:rPr>
        <w:t xml:space="preserve"> </w:t>
      </w:r>
      <w:r>
        <w:rPr>
          <w:rFonts w:ascii="Times New Roman" w:hAnsi="Times New Roman" w:eastAsia="方正黑体_GBK" w:cs="Times New Roman"/>
          <w:sz w:val="32"/>
          <w:szCs w:val="32"/>
        </w:rPr>
        <w:t>总</w:t>
      </w:r>
      <w:r>
        <w:rPr>
          <w:rFonts w:hint="eastAsia" w:ascii="Times New Roman" w:hAnsi="Times New Roman" w:eastAsia="方正黑体_GBK" w:cs="Times New Roman"/>
          <w:sz w:val="32"/>
          <w:szCs w:val="32"/>
        </w:rPr>
        <w:t xml:space="preserve">  </w:t>
      </w:r>
      <w:r>
        <w:rPr>
          <w:rFonts w:ascii="Times New Roman" w:hAnsi="Times New Roman" w:eastAsia="方正黑体_GBK" w:cs="Times New Roman"/>
          <w:sz w:val="32"/>
          <w:szCs w:val="32"/>
        </w:rPr>
        <w:t>则</w:t>
      </w:r>
    </w:p>
    <w:p w14:paraId="2A8ECDBB">
      <w:pPr>
        <w:spacing w:line="580" w:lineRule="exact"/>
        <w:ind w:firstLine="640" w:firstLineChars="200"/>
        <w:rPr>
          <w:rFonts w:ascii="Times New Roman" w:hAnsi="Times New Roman" w:eastAsia="方正黑体_GBK" w:cs="Times New Roman"/>
          <w:sz w:val="32"/>
          <w:szCs w:val="32"/>
        </w:rPr>
      </w:pPr>
    </w:p>
    <w:p w14:paraId="5496CB55">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第一条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为规范</w:t>
      </w:r>
      <w:r>
        <w:rPr>
          <w:rFonts w:hint="eastAsia" w:ascii="Times New Roman" w:hAnsi="Times New Roman" w:eastAsia="方正仿宋_GBK" w:cs="Times New Roman"/>
          <w:sz w:val="32"/>
          <w:szCs w:val="32"/>
          <w:lang w:val="en-US" w:eastAsia="zh-CN"/>
        </w:rPr>
        <w:t>村级集体企业</w:t>
      </w:r>
      <w:r>
        <w:rPr>
          <w:rFonts w:hint="eastAsia" w:ascii="Times New Roman" w:hAnsi="Times New Roman" w:eastAsia="方正仿宋_GBK" w:cs="Times New Roman"/>
          <w:sz w:val="32"/>
          <w:szCs w:val="32"/>
        </w:rPr>
        <w:t>财务</w:t>
      </w:r>
      <w:r>
        <w:rPr>
          <w:rFonts w:hint="eastAsia" w:ascii="Times New Roman" w:hAnsi="Times New Roman" w:eastAsia="方正仿宋_GBK" w:cs="Times New Roman"/>
          <w:sz w:val="32"/>
          <w:szCs w:val="32"/>
          <w:lang w:val="en-US" w:eastAsia="zh-CN"/>
        </w:rPr>
        <w:t>行为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适应当前村级</w:t>
      </w:r>
      <w:r>
        <w:rPr>
          <w:rFonts w:hint="eastAsia" w:ascii="Times New Roman" w:hAnsi="Times New Roman" w:eastAsia="方正仿宋_GBK" w:cs="Times New Roman"/>
          <w:sz w:val="32"/>
          <w:szCs w:val="32"/>
          <w:lang w:val="en-US" w:eastAsia="zh-CN"/>
        </w:rPr>
        <w:t>集体企业</w:t>
      </w:r>
      <w:r>
        <w:rPr>
          <w:rFonts w:ascii="Times New Roman" w:hAnsi="Times New Roman" w:eastAsia="方正仿宋_GBK" w:cs="Times New Roman"/>
          <w:sz w:val="32"/>
          <w:szCs w:val="32"/>
        </w:rPr>
        <w:t>财务管理的需要，确保村级集体企业健康发展，</w:t>
      </w:r>
      <w:r>
        <w:rPr>
          <w:rFonts w:hint="eastAsia" w:ascii="Times New Roman" w:hAnsi="Times New Roman" w:eastAsia="方正仿宋_GBK" w:cs="Times New Roman"/>
          <w:sz w:val="32"/>
          <w:szCs w:val="32"/>
        </w:rPr>
        <w:t>根据《中华人民共和国公司法》《中华人民共和国会计法》</w:t>
      </w:r>
      <w:r>
        <w:rPr>
          <w:rFonts w:ascii="Times New Roman" w:hAnsi="Times New Roman" w:eastAsia="方正仿宋_GBK" w:cs="Times New Roman"/>
          <w:sz w:val="32"/>
          <w:szCs w:val="32"/>
        </w:rPr>
        <w:t>《农村集体经济组织会计制度》《农村集体经济组织财务制度》《江苏省农村集体资产管理条例》等法律法规</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结合我区实际</w:t>
      </w:r>
      <w:r>
        <w:rPr>
          <w:rFonts w:hint="eastAsia" w:ascii="Times New Roman" w:hAnsi="Times New Roman" w:eastAsia="方正仿宋_GBK" w:cs="Times New Roman"/>
          <w:sz w:val="32"/>
          <w:szCs w:val="32"/>
          <w:lang w:eastAsia="zh-CN"/>
        </w:rPr>
        <w:t>制定</w:t>
      </w:r>
      <w:r>
        <w:rPr>
          <w:rFonts w:hint="eastAsia" w:ascii="Times New Roman" w:hAnsi="Times New Roman" w:eastAsia="方正仿宋_GBK" w:cs="Times New Roman"/>
          <w:sz w:val="32"/>
          <w:szCs w:val="32"/>
        </w:rPr>
        <w:t>本制度。</w:t>
      </w:r>
    </w:p>
    <w:p w14:paraId="5443328E">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第二条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rPr>
        <w:t>本</w:t>
      </w:r>
      <w:r>
        <w:rPr>
          <w:rFonts w:hint="eastAsia" w:ascii="Times New Roman" w:hAnsi="Times New Roman" w:eastAsia="方正仿宋_GBK" w:cs="Times New Roman"/>
          <w:sz w:val="32"/>
          <w:szCs w:val="32"/>
          <w:lang w:val="en-US" w:eastAsia="zh-CN"/>
        </w:rPr>
        <w:t>制度</w:t>
      </w:r>
      <w:r>
        <w:rPr>
          <w:rFonts w:hint="eastAsia" w:ascii="Times New Roman" w:hAnsi="Times New Roman" w:eastAsia="方正仿宋_GBK" w:cs="Times New Roman"/>
          <w:sz w:val="32"/>
          <w:szCs w:val="32"/>
        </w:rPr>
        <w:t>适用于</w:t>
      </w:r>
      <w:r>
        <w:rPr>
          <w:rFonts w:ascii="Times New Roman" w:hAnsi="Times New Roman" w:eastAsia="方正仿宋_GBK" w:cs="Times New Roman"/>
          <w:sz w:val="32"/>
          <w:szCs w:val="32"/>
        </w:rPr>
        <w:t>村集体全资企业</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单村控股或多村联合控股</w:t>
      </w:r>
      <w:r>
        <w:rPr>
          <w:rFonts w:hint="eastAsia" w:ascii="Times New Roman" w:hAnsi="Times New Roman" w:eastAsia="方正仿宋_GBK" w:cs="Times New Roman"/>
          <w:sz w:val="32"/>
          <w:szCs w:val="32"/>
          <w:lang w:val="en-US" w:eastAsia="zh-CN"/>
        </w:rPr>
        <w:t>50%以上</w:t>
      </w:r>
      <w:r>
        <w:rPr>
          <w:rFonts w:hint="eastAsia" w:ascii="Times New Roman" w:hAnsi="Times New Roman" w:eastAsia="方正仿宋_GBK" w:cs="Times New Roman"/>
          <w:sz w:val="32"/>
          <w:szCs w:val="32"/>
        </w:rPr>
        <w:t>、依法向登记机关申请设立登记的企业。</w:t>
      </w:r>
    </w:p>
    <w:p w14:paraId="0A3972F2">
      <w:pPr>
        <w:widowControl w:val="0"/>
        <w:jc w:val="both"/>
        <w:rPr>
          <w:rFonts w:ascii="Times New Roman" w:hAnsi="Times New Roman" w:eastAsia="仿宋_GB2312" w:cs="Times New Roman"/>
          <w:b/>
          <w:bCs/>
          <w:kern w:val="2"/>
          <w:sz w:val="32"/>
          <w:szCs w:val="32"/>
          <w:lang w:val="en-US" w:eastAsia="zh-CN" w:bidi="ar-SA"/>
        </w:rPr>
      </w:pPr>
    </w:p>
    <w:p w14:paraId="612CEAAD">
      <w:pPr>
        <w:spacing w:line="580" w:lineRule="exact"/>
        <w:jc w:val="center"/>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 xml:space="preserve">第二章  </w:t>
      </w:r>
      <w:r>
        <w:rPr>
          <w:rFonts w:ascii="方正黑体_GBK" w:hAnsi="方正黑体_GBK" w:eastAsia="方正黑体_GBK" w:cs="方正黑体_GBK"/>
          <w:spacing w:val="3"/>
          <w:sz w:val="31"/>
          <w:szCs w:val="31"/>
        </w:rPr>
        <w:t>组建和终止</w:t>
      </w:r>
    </w:p>
    <w:p w14:paraId="5DFA5716">
      <w:pPr>
        <w:spacing w:line="580" w:lineRule="exact"/>
        <w:ind w:firstLine="640" w:firstLineChars="200"/>
        <w:rPr>
          <w:rFonts w:ascii="Times New Roman" w:hAnsi="Times New Roman" w:eastAsia="方正黑体_GBK" w:cs="Times New Roman"/>
          <w:sz w:val="32"/>
          <w:szCs w:val="32"/>
        </w:rPr>
      </w:pPr>
    </w:p>
    <w:p w14:paraId="3024B17C">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村集体经济组织出资设立村级集体企业，应经民主决策程序，由</w:t>
      </w:r>
      <w:r>
        <w:rPr>
          <w:rFonts w:hint="eastAsia" w:ascii="Times New Roman" w:hAnsi="Times New Roman" w:eastAsia="方正仿宋_GBK" w:cs="Times New Roman"/>
          <w:sz w:val="32"/>
          <w:szCs w:val="32"/>
          <w:lang w:val="en-US" w:eastAsia="zh-CN"/>
        </w:rPr>
        <w:t>成员（</w:t>
      </w:r>
      <w:r>
        <w:rPr>
          <w:rFonts w:ascii="Times New Roman" w:hAnsi="Times New Roman" w:eastAsia="方正仿宋_GBK" w:cs="Times New Roman"/>
          <w:sz w:val="32"/>
          <w:szCs w:val="32"/>
        </w:rPr>
        <w:t>代表</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大会讨论决定并向村集体经济组织成员公开，并报镇（区、街道）备案。</w:t>
      </w:r>
      <w:r>
        <w:rPr>
          <w:rFonts w:hint="default" w:ascii="Times New Roman" w:hAnsi="Times New Roman" w:eastAsia="方正仿宋_GBK" w:cs="Times New Roman"/>
          <w:sz w:val="32"/>
          <w:szCs w:val="32"/>
          <w:lang w:val="en-US" w:eastAsia="zh-CN"/>
        </w:rPr>
        <w:t>未经镇（</w:t>
      </w:r>
      <w:r>
        <w:rPr>
          <w:rFonts w:hint="eastAsia" w:ascii="Times New Roman" w:hAnsi="Times New Roman" w:eastAsia="方正仿宋_GBK" w:cs="Times New Roman"/>
          <w:sz w:val="32"/>
          <w:szCs w:val="32"/>
          <w:lang w:val="en-US" w:eastAsia="zh-CN"/>
        </w:rPr>
        <w:t>区、</w:t>
      </w:r>
      <w:r>
        <w:rPr>
          <w:rFonts w:hint="default" w:ascii="Times New Roman" w:hAnsi="Times New Roman" w:eastAsia="方正仿宋_GBK" w:cs="Times New Roman"/>
          <w:sz w:val="32"/>
          <w:szCs w:val="32"/>
          <w:lang w:val="en-US" w:eastAsia="zh-CN"/>
        </w:rPr>
        <w:t>街道）批准，</w:t>
      </w:r>
      <w:r>
        <w:rPr>
          <w:rFonts w:hint="eastAsia" w:ascii="Times New Roman" w:hAnsi="Times New Roman" w:eastAsia="方正仿宋_GBK" w:cs="Times New Roman"/>
          <w:sz w:val="32"/>
          <w:szCs w:val="32"/>
          <w:lang w:val="en-US" w:eastAsia="zh-CN"/>
        </w:rPr>
        <w:t>村级集体企业</w:t>
      </w:r>
      <w:r>
        <w:rPr>
          <w:rFonts w:hint="default" w:ascii="Times New Roman" w:hAnsi="Times New Roman" w:eastAsia="方正仿宋_GBK" w:cs="Times New Roman"/>
          <w:sz w:val="32"/>
          <w:szCs w:val="32"/>
          <w:lang w:val="en-US" w:eastAsia="zh-CN"/>
        </w:rPr>
        <w:t>不允许设立子公司。</w:t>
      </w:r>
      <w:r>
        <w:rPr>
          <w:rFonts w:ascii="Times New Roman" w:hAnsi="Times New Roman" w:eastAsia="方正仿宋_GBK" w:cs="Times New Roman"/>
          <w:sz w:val="32"/>
          <w:szCs w:val="32"/>
        </w:rPr>
        <w:t>镇（区、街道）要加强对村级集体企业的设立指导，审慎设立，避免村级集体企业空壳运转。村级集体企业</w:t>
      </w:r>
      <w:r>
        <w:rPr>
          <w:rFonts w:hint="eastAsia" w:ascii="Times New Roman" w:hAnsi="Times New Roman" w:eastAsia="方正仿宋_GBK" w:cs="Times New Roman"/>
          <w:sz w:val="32"/>
          <w:szCs w:val="32"/>
          <w:lang w:val="en-US" w:eastAsia="zh-CN"/>
        </w:rPr>
        <w:t>确无实际经营业务半年以上的，各</w:t>
      </w:r>
      <w:r>
        <w:rPr>
          <w:rFonts w:ascii="Times New Roman" w:hAnsi="Times New Roman" w:eastAsia="方正仿宋_GBK" w:cs="Times New Roman"/>
          <w:sz w:val="32"/>
          <w:szCs w:val="32"/>
        </w:rPr>
        <w:t>镇（区、街道）</w:t>
      </w:r>
      <w:r>
        <w:rPr>
          <w:rFonts w:hint="eastAsia" w:ascii="Times New Roman" w:hAnsi="Times New Roman" w:eastAsia="方正仿宋_GBK" w:cs="Times New Roman"/>
          <w:sz w:val="32"/>
          <w:szCs w:val="32"/>
          <w:lang w:val="en-US" w:eastAsia="zh-CN"/>
        </w:rPr>
        <w:t>应加强指导，引导规范运营或合并注销；连续3年亏损或不能给村集体带来收益的</w:t>
      </w:r>
      <w:r>
        <w:rPr>
          <w:rFonts w:ascii="Times New Roman" w:hAnsi="Times New Roman" w:eastAsia="方正仿宋_GBK" w:cs="Times New Roman"/>
          <w:sz w:val="32"/>
          <w:szCs w:val="32"/>
        </w:rPr>
        <w:t>村级集体企业</w:t>
      </w:r>
      <w:r>
        <w:rPr>
          <w:rFonts w:hint="eastAsia" w:ascii="Times New Roman" w:hAnsi="Times New Roman" w:eastAsia="方正仿宋_GBK" w:cs="Times New Roman"/>
          <w:sz w:val="32"/>
          <w:szCs w:val="32"/>
          <w:lang w:val="en-US" w:eastAsia="zh-CN"/>
        </w:rPr>
        <w:t>应当引导注销，杜绝产生“空壳”公司。</w:t>
      </w:r>
    </w:p>
    <w:p w14:paraId="7A67E8E9">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四</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村级集体企业一般应设立股东（代表）会、董事会、监事会，具体成员根据公司章程选举产生。提倡出资的村集体经济组织</w:t>
      </w:r>
      <w:r>
        <w:rPr>
          <w:rFonts w:hint="eastAsia" w:ascii="Times New Roman" w:hAnsi="Times New Roman" w:eastAsia="方正仿宋_GBK" w:cs="Times New Roman"/>
          <w:sz w:val="32"/>
          <w:szCs w:val="32"/>
          <w:lang w:val="en-US" w:eastAsia="zh-CN"/>
        </w:rPr>
        <w:t>理事会成员</w:t>
      </w:r>
      <w:r>
        <w:rPr>
          <w:rFonts w:ascii="Times New Roman" w:hAnsi="Times New Roman" w:eastAsia="方正仿宋_GBK" w:cs="Times New Roman"/>
          <w:sz w:val="32"/>
          <w:szCs w:val="32"/>
        </w:rPr>
        <w:t>和</w:t>
      </w:r>
      <w:r>
        <w:rPr>
          <w:rFonts w:hint="eastAsia" w:ascii="Times New Roman" w:hAnsi="Times New Roman" w:eastAsia="方正仿宋_GBK" w:cs="Times New Roman"/>
          <w:sz w:val="32"/>
          <w:szCs w:val="32"/>
          <w:lang w:val="en-US" w:eastAsia="zh-CN"/>
        </w:rPr>
        <w:t>监事会成员</w:t>
      </w:r>
      <w:r>
        <w:rPr>
          <w:rFonts w:ascii="Times New Roman" w:hAnsi="Times New Roman" w:eastAsia="方正仿宋_GBK" w:cs="Times New Roman"/>
          <w:sz w:val="32"/>
          <w:szCs w:val="32"/>
        </w:rPr>
        <w:t>通过推选程序担任村级集体企业董事会、监事会</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审计委员会</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成员。</w:t>
      </w:r>
    </w:p>
    <w:p w14:paraId="6D83CBB6">
      <w:pPr>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lang w:val="en-US" w:eastAsia="zh-CN"/>
        </w:rPr>
        <w:t>第五条</w:t>
      </w:r>
      <w:r>
        <w:rPr>
          <w:rFonts w:hint="eastAsia" w:ascii="方正仿宋_GBK" w:hAnsi="方正仿宋_GBK" w:eastAsia="方正仿宋_GBK" w:cs="方正仿宋_GBK"/>
          <w:spacing w:val="5"/>
          <w:sz w:val="31"/>
          <w:szCs w:val="31"/>
          <w:lang w:val="en-US" w:eastAsia="zh-CN"/>
        </w:rPr>
        <w:t xml:space="preserve">  </w:t>
      </w:r>
      <w:r>
        <w:rPr>
          <w:rFonts w:hint="eastAsia" w:ascii="Times New Roman" w:hAnsi="Times New Roman" w:eastAsia="方正仿宋_GBK" w:cs="Times New Roman"/>
          <w:sz w:val="32"/>
          <w:szCs w:val="32"/>
          <w:lang w:val="en-US" w:eastAsia="zh-CN"/>
        </w:rPr>
        <w:t>村级集体企业</w:t>
      </w:r>
      <w:r>
        <w:rPr>
          <w:rFonts w:ascii="Times New Roman" w:hAnsi="Times New Roman" w:eastAsia="方正仿宋_GBK" w:cs="Times New Roman"/>
          <w:sz w:val="32"/>
          <w:szCs w:val="32"/>
        </w:rPr>
        <w:t>应当根据会计业务的需要设置会计机构，如公司不能聘任有资质的会计人员，则须委托镇（区、街道）农村</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三资</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服务中心或委托第三方代理记账机构办理会计业务。未委托镇（区、街道）代理做账的</w:t>
      </w:r>
      <w:r>
        <w:rPr>
          <w:rFonts w:hint="eastAsia" w:ascii="Times New Roman" w:hAnsi="Times New Roman" w:eastAsia="方正仿宋_GBK" w:cs="Times New Roman"/>
          <w:sz w:val="32"/>
          <w:szCs w:val="32"/>
          <w:lang w:val="en-US" w:eastAsia="zh-CN"/>
        </w:rPr>
        <w:t>村级集体企业</w:t>
      </w:r>
      <w:r>
        <w:rPr>
          <w:rFonts w:ascii="Times New Roman" w:hAnsi="Times New Roman" w:eastAsia="方正仿宋_GBK" w:cs="Times New Roman"/>
          <w:sz w:val="32"/>
          <w:szCs w:val="32"/>
        </w:rPr>
        <w:t>每月结束后一周内要向镇（区、街道）提供财务收支报表和会计凭证，镇（区、街道）据此进行核查。</w:t>
      </w:r>
    </w:p>
    <w:p w14:paraId="134E051C">
      <w:pPr>
        <w:spacing w:line="58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第六条</w:t>
      </w:r>
      <w:r>
        <w:rPr>
          <w:rFonts w:hint="eastAsia" w:ascii="Times New Roman" w:hAnsi="Times New Roman" w:eastAsia="方正仿宋_GBK" w:cs="Times New Roman"/>
          <w:sz w:val="32"/>
          <w:szCs w:val="32"/>
          <w:lang w:val="en-US" w:eastAsia="zh-CN"/>
        </w:rPr>
        <w:t xml:space="preserve">  村级集体企业</w:t>
      </w:r>
      <w:r>
        <w:rPr>
          <w:rFonts w:hint="default" w:ascii="Times New Roman" w:hAnsi="Times New Roman" w:eastAsia="方正仿宋_GBK" w:cs="Times New Roman"/>
          <w:sz w:val="32"/>
          <w:szCs w:val="32"/>
          <w:lang w:val="en-US" w:eastAsia="zh-CN"/>
        </w:rPr>
        <w:t>运营管理过程中聘请职业经理团队或个人要按需定岗，岗位设置、招聘方案、薪酬标准、绩效考核须报出资的村集体经济组织审核同意，其中薪酬标准要向</w:t>
      </w:r>
      <w:r>
        <w:rPr>
          <w:rFonts w:ascii="Times New Roman" w:hAnsi="Times New Roman" w:eastAsia="方正仿宋_GBK" w:cs="Times New Roman"/>
          <w:sz w:val="32"/>
          <w:szCs w:val="32"/>
        </w:rPr>
        <w:t>镇（区、街道）</w:t>
      </w:r>
      <w:r>
        <w:rPr>
          <w:rFonts w:hint="default" w:ascii="Times New Roman" w:hAnsi="Times New Roman" w:eastAsia="方正仿宋_GBK" w:cs="Times New Roman"/>
          <w:sz w:val="32"/>
          <w:szCs w:val="32"/>
          <w:lang w:val="en-US" w:eastAsia="zh-CN"/>
        </w:rPr>
        <w:t>报告。要规范劳务合同签订，可根据实际需要为聘用人员在从事工作期间</w:t>
      </w:r>
      <w:r>
        <w:rPr>
          <w:rFonts w:hint="eastAsia" w:ascii="Times New Roman" w:hAnsi="Times New Roman" w:eastAsia="方正仿宋_GBK" w:cs="Times New Roman"/>
          <w:sz w:val="32"/>
          <w:szCs w:val="32"/>
          <w:lang w:val="en-US" w:eastAsia="zh-CN"/>
        </w:rPr>
        <w:t>缴纳社会保险</w:t>
      </w:r>
      <w:r>
        <w:rPr>
          <w:rFonts w:hint="default" w:ascii="Times New Roman" w:hAnsi="Times New Roman" w:eastAsia="方正仿宋_GBK" w:cs="Times New Roman"/>
          <w:sz w:val="32"/>
          <w:szCs w:val="32"/>
          <w:lang w:val="en-US" w:eastAsia="zh-CN"/>
        </w:rPr>
        <w:t>；合同到期公司不续签劳动合同的，公司应该为员工办理社会保险关系转移手续。禁止公司对任何非工作人员投保。</w:t>
      </w:r>
    </w:p>
    <w:p w14:paraId="43F24231">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第七条</w:t>
      </w:r>
      <w:r>
        <w:rPr>
          <w:rFonts w:hint="eastAsia" w:ascii="Times New Roman" w:hAnsi="Times New Roman" w:eastAsia="方正仿宋_GBK" w:cs="Times New Roman"/>
          <w:sz w:val="32"/>
          <w:szCs w:val="32"/>
          <w:lang w:val="en-US" w:eastAsia="zh-CN"/>
        </w:rPr>
        <w:t xml:space="preserve">  村（社区）干部和村级财务人员在村级集体企业任职实行“兼职不兼薪”原则，不得在公司领取报酬补贴，不得由公司支付保险。在村级集体企业任职的村（社区）干部随其职务变动而作相应调整。禁止村社干部、村社代表、党员（含非在职）等在企业虚挂职务领取报酬、补贴。</w:t>
      </w:r>
    </w:p>
    <w:p w14:paraId="6BD6AAD4">
      <w:pPr>
        <w:spacing w:line="580" w:lineRule="exact"/>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第八条</w:t>
      </w:r>
      <w:r>
        <w:rPr>
          <w:rFonts w:hint="eastAsia" w:ascii="Times New Roman" w:hAnsi="Times New Roman" w:eastAsia="方正仿宋_GBK" w:cs="Times New Roman"/>
          <w:sz w:val="32"/>
          <w:szCs w:val="32"/>
          <w:lang w:val="en-US" w:eastAsia="zh-CN"/>
        </w:rPr>
        <w:t xml:space="preserve">  村级集体企业在运营过程中，如遇不可抗力或其他因素确需合并、分立、解散或整体转让、变卖、兼并的，由村级集体企业董事会拟定清算方案，依法处理。村级集体企业清算组由公司董事会董事和出资的村集体经济组织推荐人员组成。村级集体企业出现资不抵债等符合法律规定的破产条件的，按照《破产法》依法处理。</w:t>
      </w:r>
    </w:p>
    <w:p w14:paraId="45F84119">
      <w:pPr>
        <w:widowControl w:val="0"/>
        <w:jc w:val="both"/>
        <w:rPr>
          <w:rFonts w:ascii="Times New Roman" w:hAnsi="Times New Roman" w:eastAsia="仿宋_GB2312" w:cs="Times New Roman"/>
          <w:b/>
          <w:bCs/>
          <w:kern w:val="2"/>
          <w:sz w:val="32"/>
          <w:szCs w:val="32"/>
          <w:lang w:val="en-US" w:eastAsia="zh-CN" w:bidi="ar-SA"/>
        </w:rPr>
      </w:pPr>
    </w:p>
    <w:p w14:paraId="11944579">
      <w:pPr>
        <w:spacing w:line="580" w:lineRule="exact"/>
        <w:jc w:val="center"/>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三</w:t>
      </w:r>
      <w:r>
        <w:rPr>
          <w:rFonts w:hint="eastAsia" w:ascii="Times New Roman" w:hAnsi="Times New Roman" w:eastAsia="方正黑体_GBK" w:cs="Times New Roman"/>
          <w:sz w:val="32"/>
          <w:szCs w:val="32"/>
        </w:rPr>
        <w:t xml:space="preserve">章  </w:t>
      </w:r>
      <w:r>
        <w:rPr>
          <w:rFonts w:ascii="Times New Roman" w:hAnsi="Times New Roman" w:eastAsia="方正黑体_GBK" w:cs="Times New Roman"/>
          <w:sz w:val="32"/>
          <w:szCs w:val="32"/>
        </w:rPr>
        <w:t>财务管理</w:t>
      </w:r>
    </w:p>
    <w:p w14:paraId="77429F33">
      <w:pPr>
        <w:spacing w:line="580" w:lineRule="exact"/>
        <w:ind w:firstLine="640" w:firstLineChars="200"/>
        <w:rPr>
          <w:rFonts w:ascii="Times New Roman" w:hAnsi="Times New Roman" w:eastAsia="方正黑体_GBK" w:cs="Times New Roman"/>
          <w:sz w:val="32"/>
          <w:szCs w:val="32"/>
        </w:rPr>
      </w:pPr>
    </w:p>
    <w:p w14:paraId="3F5F5779">
      <w:pPr>
        <w:numPr>
          <w:ilvl w:val="0"/>
          <w:numId w:val="0"/>
        </w:num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方正黑体_GBK" w:hAnsi="方正黑体_GBK" w:eastAsia="方正黑体_GBK" w:cs="方正黑体_GBK"/>
          <w:kern w:val="2"/>
          <w:sz w:val="32"/>
          <w:szCs w:val="32"/>
          <w:lang w:val="en-US" w:eastAsia="zh-CN" w:bidi="ar-SA"/>
        </w:rPr>
        <w:t>第九条</w:t>
      </w:r>
      <w:r>
        <w:rPr>
          <w:rFonts w:hint="eastAsia"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加强财务核算。</w:t>
      </w:r>
      <w:r>
        <w:rPr>
          <w:rFonts w:ascii="Times New Roman" w:hAnsi="Times New Roman" w:eastAsia="方正仿宋_GBK" w:cs="Times New Roman"/>
          <w:sz w:val="32"/>
          <w:szCs w:val="32"/>
        </w:rPr>
        <w:t>村级集体企业应根据国家法律法规和集体资产与财务管理的有关规定，结合企业实际情况和业务特点，制定具体的财务管理规章制度。村级集体企业</w:t>
      </w:r>
      <w:r>
        <w:rPr>
          <w:rFonts w:ascii="方正仿宋_GBK" w:hAnsi="方正仿宋_GBK" w:eastAsia="方正仿宋_GBK" w:cs="方正仿宋_GBK"/>
          <w:spacing w:val="5"/>
          <w:sz w:val="31"/>
          <w:szCs w:val="31"/>
        </w:rPr>
        <w:t>经营出资村的集体资产、资</w:t>
      </w:r>
      <w:r>
        <w:rPr>
          <w:rFonts w:ascii="方正仿宋_GBK" w:hAnsi="方正仿宋_GBK" w:eastAsia="方正仿宋_GBK" w:cs="方正仿宋_GBK"/>
          <w:spacing w:val="4"/>
          <w:sz w:val="31"/>
          <w:szCs w:val="31"/>
        </w:rPr>
        <w:t>源和集体项目招投</w:t>
      </w:r>
      <w:r>
        <w:rPr>
          <w:rFonts w:ascii="方正仿宋_GBK" w:hAnsi="方正仿宋_GBK" w:eastAsia="方正仿宋_GBK" w:cs="方正仿宋_GBK"/>
          <w:spacing w:val="5"/>
          <w:sz w:val="31"/>
          <w:szCs w:val="31"/>
        </w:rPr>
        <w:t>标，原则上参照村集体经济组织财务管理制度执行。</w:t>
      </w:r>
    </w:p>
    <w:p w14:paraId="5947D451">
      <w:pPr>
        <w:numPr>
          <w:ilvl w:val="0"/>
          <w:numId w:val="0"/>
        </w:num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村级集体企业应保持独立的财务核算，村级开支不得在村级集体企业中列支。加强货币资金管理，积极推行资金收付“非现金”结算，通过银行转账、二维码等非现金收付款方式收取各项经营收入和支付各项费用。除法定的会计账簿外，不得另立会计账簿，不得以任何个人名义开立账户存储。严格执行账款分管，执行收支两条线，不得坐收坐支，严禁设立“小金库”或账外账，报账凭证须规范，手续完备，不得白条入账。</w:t>
      </w:r>
    </w:p>
    <w:p w14:paraId="34C7566D">
      <w:pPr>
        <w:numPr>
          <w:ilvl w:val="0"/>
          <w:numId w:val="0"/>
        </w:num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村级集体企业应当按照法定期限，向税务机关报送纳税申报表，申报应纳税额，缴纳应纳税款，自觉接受税务机关的核实和检查。</w:t>
      </w:r>
    </w:p>
    <w:p w14:paraId="763782E7">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第十条</w:t>
      </w:r>
      <w:r>
        <w:rPr>
          <w:rFonts w:hint="eastAsia" w:ascii="Times New Roman" w:hAnsi="Times New Roman" w:eastAsia="方正仿宋_GBK" w:cs="Times New Roman"/>
          <w:sz w:val="32"/>
          <w:szCs w:val="32"/>
          <w:lang w:val="en-US" w:eastAsia="zh-CN"/>
        </w:rPr>
        <w:t xml:space="preserve">  落实联审联批。村级集体企业应建立工程项目招投标、物资采购、资产处置等相关制度。工程建设项目参照村级工程招投标管理相关制度执行；资金审批权限、货物采购、资产处置参照</w:t>
      </w:r>
      <w:r>
        <w:rPr>
          <w:rFonts w:ascii="Calibri" w:hAnsi="Calibri" w:eastAsia="方正仿宋_GBK" w:cs="Times New Roman"/>
          <w:sz w:val="32"/>
          <w:szCs w:val="32"/>
        </w:rPr>
        <w:t>村集体经济组织财务管理制度</w:t>
      </w:r>
      <w:r>
        <w:rPr>
          <w:rFonts w:hint="eastAsia" w:ascii="Times New Roman" w:hAnsi="Times New Roman" w:eastAsia="方正仿宋_GBK" w:cs="Times New Roman"/>
          <w:sz w:val="32"/>
          <w:szCs w:val="32"/>
          <w:lang w:val="en-US" w:eastAsia="zh-CN"/>
        </w:rPr>
        <w:t>实行。健全审批制度，明确符合实际的收支内部审批流程，规范审批手续，实行财务联审联批，每一笔支出应按公司规定经董事长和监事长审核同意签字，或经公司董事会、监事会（审计委员会）集体联审联批。具体审批支付限额标准、审批流程，须经股东会表决通过后报</w:t>
      </w:r>
      <w:r>
        <w:rPr>
          <w:rFonts w:ascii="Times New Roman" w:hAnsi="Times New Roman" w:eastAsia="方正仿宋_GBK" w:cs="Times New Roman"/>
          <w:sz w:val="32"/>
          <w:szCs w:val="32"/>
        </w:rPr>
        <w:t>镇（区、街道）</w:t>
      </w:r>
      <w:r>
        <w:rPr>
          <w:rFonts w:hint="eastAsia" w:ascii="Times New Roman" w:hAnsi="Times New Roman" w:eastAsia="方正仿宋_GBK" w:cs="Times New Roman"/>
          <w:sz w:val="32"/>
          <w:szCs w:val="32"/>
          <w:lang w:val="en-US" w:eastAsia="zh-CN"/>
        </w:rPr>
        <w:t>备案。收支票据均要使用税务部门提供的普通（增值税）发票，报销应附依据和凭证，有证明人确认，确保真实性、合法性。</w:t>
      </w:r>
    </w:p>
    <w:p w14:paraId="2B591896">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第十一条</w:t>
      </w:r>
      <w:r>
        <w:rPr>
          <w:rFonts w:hint="eastAsia" w:ascii="Times New Roman" w:hAnsi="Times New Roman" w:eastAsia="方正仿宋_GBK" w:cs="Times New Roman"/>
          <w:sz w:val="32"/>
          <w:szCs w:val="32"/>
          <w:lang w:val="en-US" w:eastAsia="zh-CN"/>
        </w:rPr>
        <w:t xml:space="preserve">  加强账户管理。村级集体企业只能开设一个基本存款账户，因公司发展建设，确需增设一般账户的，须经公司董事会、监事会（审计委员会）同意，新增账户不得用于其他资金运行，专户使用完毕后，应及时注销账户。独资、控股的村级集体企业，所有账户均须纳入农村集体“三资”监督管理范围。公司银行预留印鉴和账户须实行双人管理。</w:t>
      </w:r>
    </w:p>
    <w:p w14:paraId="428A73F2">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第十二条</w:t>
      </w:r>
      <w:r>
        <w:rPr>
          <w:rFonts w:hint="eastAsia" w:ascii="Times New Roman" w:hAnsi="Times New Roman" w:eastAsia="方正仿宋_GBK" w:cs="Times New Roman"/>
          <w:sz w:val="32"/>
          <w:szCs w:val="32"/>
          <w:lang w:val="en-US" w:eastAsia="zh-CN"/>
        </w:rPr>
        <w:t xml:space="preserve">  加大财务公开。完善财务报告制度，村级集体企业财务报告、产权变动等有关事项需定期在一定范围内公示公开。原则上村级集体企业财务随村级财务按季公开，重大事项随时公开，年度资产负债、净利润、利润分配情况应向全体股东公开，法定代表人每年至少一次向股东会报告村级集体企业经营管理和制度建设等重大事项，并将书面报告报送</w:t>
      </w:r>
      <w:r>
        <w:rPr>
          <w:rFonts w:ascii="Times New Roman" w:hAnsi="Times New Roman" w:eastAsia="方正仿宋_GBK" w:cs="Times New Roman"/>
          <w:sz w:val="32"/>
          <w:szCs w:val="32"/>
        </w:rPr>
        <w:t>镇（区、街道）</w:t>
      </w:r>
      <w:r>
        <w:rPr>
          <w:rFonts w:hint="eastAsia" w:ascii="Times New Roman" w:hAnsi="Times New Roman" w:eastAsia="方正仿宋_GBK" w:cs="Times New Roman"/>
          <w:sz w:val="32"/>
          <w:szCs w:val="32"/>
          <w:lang w:val="en-US" w:eastAsia="zh-CN"/>
        </w:rPr>
        <w:t>，接受群众监督。</w:t>
      </w:r>
    </w:p>
    <w:p w14:paraId="449932E2">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第十三条</w:t>
      </w:r>
      <w:r>
        <w:rPr>
          <w:rFonts w:hint="eastAsia" w:ascii="Times New Roman" w:hAnsi="Times New Roman" w:eastAsia="方正仿宋_GBK" w:cs="Times New Roman"/>
          <w:sz w:val="32"/>
          <w:szCs w:val="32"/>
          <w:lang w:val="en-US" w:eastAsia="zh-CN"/>
        </w:rPr>
        <w:t xml:space="preserve">  规范非生产性开支。严格控制非生产性开支，</w:t>
      </w:r>
      <w:r>
        <w:rPr>
          <w:rFonts w:ascii="Times New Roman" w:hAnsi="Times New Roman" w:eastAsia="方正仿宋_GBK" w:cs="Times New Roman"/>
          <w:sz w:val="32"/>
          <w:szCs w:val="32"/>
        </w:rPr>
        <w:t>压减公务性支出，控制消费性支出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包括办公费、杂费、交通差旅费、学习考察费、招待费等。村级集体企业不得列支入股村的非生产性开支，任何单位和个人不得强制村级集体企业捐款捐助或向村级集体企业摊派。</w:t>
      </w:r>
    </w:p>
    <w:p w14:paraId="2C441403">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第十四条</w:t>
      </w:r>
      <w:r>
        <w:rPr>
          <w:rFonts w:hint="eastAsia" w:ascii="Times New Roman" w:hAnsi="Times New Roman" w:eastAsia="方正仿宋_GBK" w:cs="Times New Roman"/>
          <w:sz w:val="32"/>
          <w:szCs w:val="32"/>
          <w:lang w:val="en-US" w:eastAsia="zh-CN"/>
        </w:rPr>
        <w:t xml:space="preserve">  建立担保和负债管理制度。有效落实负债安全措施，依法依规向金融机构融资，不得向个人集资借款，不得以本单位资产为其他任何组织或个人的债务提供担保，不得投资股市、期货市场。确因扩大经营和投资规模而举债的，须经代表三分之二以上表决权的股东表决通过，并报镇（区、街道）审核同意后方可实施。</w:t>
      </w:r>
    </w:p>
    <w:p w14:paraId="2201B1F1">
      <w:pPr>
        <w:widowControl w:val="0"/>
        <w:jc w:val="both"/>
        <w:rPr>
          <w:rFonts w:ascii="Times New Roman" w:hAnsi="Times New Roman" w:eastAsia="仿宋_GB2312" w:cs="Times New Roman"/>
          <w:b/>
          <w:bCs/>
          <w:kern w:val="2"/>
          <w:sz w:val="32"/>
          <w:szCs w:val="32"/>
          <w:lang w:val="en-US" w:eastAsia="zh-CN" w:bidi="ar-SA"/>
        </w:rPr>
      </w:pPr>
    </w:p>
    <w:p w14:paraId="4CD2BD58">
      <w:pPr>
        <w:spacing w:line="580" w:lineRule="exact"/>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四</w:t>
      </w:r>
      <w:r>
        <w:rPr>
          <w:rFonts w:hint="eastAsia" w:ascii="Times New Roman" w:hAnsi="Times New Roman" w:eastAsia="方正黑体_GBK" w:cs="Times New Roman"/>
          <w:sz w:val="32"/>
          <w:szCs w:val="32"/>
        </w:rPr>
        <w:t xml:space="preserve">章  </w:t>
      </w:r>
      <w:r>
        <w:rPr>
          <w:rFonts w:hint="eastAsia" w:ascii="Times New Roman" w:hAnsi="Times New Roman" w:eastAsia="方正黑体_GBK" w:cs="Times New Roman"/>
          <w:sz w:val="32"/>
          <w:szCs w:val="32"/>
          <w:lang w:val="en-US" w:eastAsia="zh-CN"/>
        </w:rPr>
        <w:t>风险防控</w:t>
      </w:r>
    </w:p>
    <w:p w14:paraId="10BF22F7">
      <w:pPr>
        <w:spacing w:line="580" w:lineRule="exact"/>
        <w:ind w:firstLine="640" w:firstLineChars="200"/>
        <w:rPr>
          <w:rFonts w:hint="eastAsia" w:ascii="Times New Roman" w:hAnsi="Times New Roman" w:eastAsia="方正仿宋_GBK" w:cs="Times New Roman"/>
          <w:sz w:val="32"/>
          <w:szCs w:val="32"/>
          <w:lang w:val="en-US" w:eastAsia="zh-CN"/>
        </w:rPr>
      </w:pPr>
    </w:p>
    <w:p w14:paraId="28E4777B">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第十五条</w:t>
      </w:r>
      <w:r>
        <w:rPr>
          <w:rFonts w:hint="eastAsia" w:ascii="Times New Roman" w:hAnsi="Times New Roman" w:eastAsia="方正仿宋_GBK" w:cs="Times New Roman"/>
          <w:sz w:val="32"/>
          <w:szCs w:val="32"/>
          <w:lang w:val="en-US" w:eastAsia="zh-CN"/>
        </w:rPr>
        <w:t xml:space="preserve">  完善规章制度。村级集体企业要根据实际，建立权责明确的内部监督管理和风险防控制度、担保和借款管理制度、重大经营事项决策制度、</w:t>
      </w:r>
      <w:r>
        <w:rPr>
          <w:rFonts w:hint="eastAsia" w:ascii="Times New Roman" w:hAnsi="Times New Roman" w:eastAsia="方正仿宋_GBK" w:cs="Times New Roman"/>
          <w:b w:val="0"/>
          <w:bCs w:val="0"/>
          <w:sz w:val="32"/>
          <w:szCs w:val="32"/>
          <w:lang w:val="en-US" w:eastAsia="zh-CN"/>
        </w:rPr>
        <w:t>经营管理人员选聘制</w:t>
      </w:r>
      <w:r>
        <w:rPr>
          <w:rFonts w:hint="eastAsia" w:ascii="Times New Roman" w:hAnsi="Times New Roman" w:eastAsia="方正仿宋_GBK" w:cs="Times New Roman"/>
          <w:sz w:val="32"/>
          <w:szCs w:val="32"/>
          <w:lang w:val="en-US" w:eastAsia="zh-CN"/>
        </w:rPr>
        <w:t>度、分配退出制度、财务管理制度、工程项目招投标及物资出入库等相关制度，进一步完善内部管理制度。</w:t>
      </w:r>
    </w:p>
    <w:p w14:paraId="63117535">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第十六条</w:t>
      </w:r>
      <w:r>
        <w:rPr>
          <w:rFonts w:hint="eastAsia" w:ascii="Times New Roman" w:hAnsi="Times New Roman" w:eastAsia="方正仿宋_GBK" w:cs="Times New Roman"/>
          <w:sz w:val="32"/>
          <w:szCs w:val="32"/>
          <w:lang w:val="en-US" w:eastAsia="zh-CN"/>
        </w:rPr>
        <w:t xml:space="preserve">  严禁盲目举债。根据业务需要可以融资，但不得以村级集体企业名义替政府举债融资，新增地方政府隐性债务。村级集体企业为扩大经营和投资规模而举债，数额较大的须经代表三分之二以上表决权的股东表决通过并报镇（区、街道）审核同意后方可实施，监事会（审计委员会）对借入资金的使用情况全程监督。</w:t>
      </w:r>
    </w:p>
    <w:p w14:paraId="12FF097C">
      <w:pPr>
        <w:spacing w:line="580" w:lineRule="exact"/>
        <w:ind w:firstLine="640" w:firstLineChars="200"/>
        <w:rPr>
          <w:rFonts w:hint="eastAsia"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第十七条</w:t>
      </w:r>
      <w:r>
        <w:rPr>
          <w:rFonts w:hint="eastAsia" w:ascii="Times New Roman" w:hAnsi="Times New Roman" w:eastAsia="方正仿宋_GBK" w:cs="Times New Roman"/>
          <w:sz w:val="32"/>
          <w:szCs w:val="32"/>
          <w:lang w:val="en-US" w:eastAsia="zh-CN"/>
        </w:rPr>
        <w:t xml:space="preserve">  加强风险防范。村级集体企业设立前，要加强调查摸底、评估论证，切忌盲目跟风。要加强项目风险防范，严禁违法违规承接项目，严禁将项目进行违法转包。加强对村级集体企业经营管理人员风险管控，坚决杜绝外单位和个人侵占村级集体企业中的集体资产份额，坚决杜绝个人和外部工商资本稀释村集体在村级集体企业中的股份。建立村级集体企业经营问题发现机制，畅通问题反馈、信访举报渠道，村干部以及村级集体企业董事会成员、监事会（审计委员会）成员以及近亲属不得担任村级集体企业财务人员，不得承揽、违规干预村级集体企业工程项目。</w:t>
      </w:r>
    </w:p>
    <w:p w14:paraId="3ECBB69F">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方正黑体_GBK" w:cs="Times New Roman"/>
          <w:sz w:val="32"/>
          <w:szCs w:val="32"/>
          <w:lang w:val="en-US" w:eastAsia="zh-CN"/>
        </w:rPr>
        <w:t>第十八条</w:t>
      </w:r>
      <w:r>
        <w:rPr>
          <w:rFonts w:hint="eastAsia" w:ascii="Times New Roman" w:hAnsi="Times New Roman" w:eastAsia="方正仿宋_GBK" w:cs="Times New Roman"/>
          <w:sz w:val="32"/>
          <w:szCs w:val="32"/>
          <w:lang w:val="en-US" w:eastAsia="zh-CN"/>
        </w:rPr>
        <w:t xml:space="preserve">  强化审计监督。推动国家审计和村级集体经济审计向村级集体企业延伸。镇（区、街道）应将独资、控股的村级集体企业纳入“三资”监督管理范围和集体经济审计范围，原则上每年3月底前应组织对镇（区、街道）上一年度的财务审计，审计报告应向公司股东或全体成员公开。镇（区、街道）按规定接受纪检监察组织的监督和巡察机构的延伸巡察。</w:t>
      </w:r>
    </w:p>
    <w:p w14:paraId="35BCA096">
      <w:pPr>
        <w:spacing w:line="580" w:lineRule="exact"/>
        <w:jc w:val="center"/>
        <w:rPr>
          <w:rFonts w:hint="eastAsia" w:ascii="Times New Roman" w:hAnsi="Times New Roman" w:eastAsia="方正黑体_GBK" w:cs="Times New Roman"/>
          <w:sz w:val="32"/>
          <w:szCs w:val="32"/>
        </w:rPr>
      </w:pPr>
    </w:p>
    <w:p w14:paraId="69ECFCD0">
      <w:pPr>
        <w:spacing w:line="580" w:lineRule="exact"/>
        <w:jc w:val="center"/>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五</w:t>
      </w:r>
      <w:r>
        <w:rPr>
          <w:rFonts w:hint="eastAsia" w:ascii="Times New Roman" w:hAnsi="Times New Roman" w:eastAsia="方正黑体_GBK" w:cs="Times New Roman"/>
          <w:sz w:val="32"/>
          <w:szCs w:val="32"/>
        </w:rPr>
        <w:t xml:space="preserve">章  </w:t>
      </w:r>
      <w:r>
        <w:rPr>
          <w:rFonts w:hint="eastAsia" w:ascii="Times New Roman" w:hAnsi="Times New Roman" w:eastAsia="方正黑体_GBK" w:cs="Times New Roman"/>
          <w:sz w:val="32"/>
          <w:szCs w:val="32"/>
          <w:lang w:val="en-US" w:eastAsia="zh-CN"/>
        </w:rPr>
        <w:t>监督管理</w:t>
      </w:r>
    </w:p>
    <w:p w14:paraId="18EB5B3B">
      <w:pPr>
        <w:spacing w:line="580" w:lineRule="exact"/>
        <w:ind w:firstLine="640" w:firstLineChars="200"/>
        <w:rPr>
          <w:rFonts w:ascii="Times New Roman" w:hAnsi="Times New Roman" w:eastAsia="方正黑体_GBK" w:cs="Times New Roman"/>
          <w:sz w:val="32"/>
          <w:szCs w:val="32"/>
        </w:rPr>
      </w:pPr>
    </w:p>
    <w:p w14:paraId="4FC32201">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十九</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lang w:val="en-US" w:eastAsia="zh-CN"/>
        </w:rPr>
        <w:t>出资的村集体经济组织依法享有资产收益、参与重大决策和选择管理者等出资人权利，依照法律法规以及村级集体企业章程履行出资人职责，督促村级集体企业规范管理、防范风险、提高效益，促进集体资产保值增值。</w:t>
      </w:r>
    </w:p>
    <w:p w14:paraId="25EEC6A0">
      <w:pPr>
        <w:spacing w:line="58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lang w:val="en-US" w:eastAsia="zh-CN"/>
        </w:rPr>
        <w:t>镇（区、街道）</w:t>
      </w:r>
      <w:r>
        <w:rPr>
          <w:rFonts w:ascii="方正仿宋_GBK" w:hAnsi="方正仿宋_GBK" w:eastAsia="方正仿宋_GBK" w:cs="方正仿宋_GBK"/>
          <w:spacing w:val="6"/>
          <w:sz w:val="32"/>
          <w:szCs w:val="32"/>
        </w:rPr>
        <w:t>是本区域内</w:t>
      </w:r>
      <w:r>
        <w:rPr>
          <w:rFonts w:hint="eastAsia" w:ascii="方正仿宋_GBK" w:hAnsi="方正仿宋_GBK" w:eastAsia="方正仿宋_GBK" w:cs="方正仿宋_GBK"/>
          <w:spacing w:val="6"/>
          <w:sz w:val="32"/>
          <w:szCs w:val="32"/>
          <w:lang w:val="en-US" w:eastAsia="zh-CN"/>
        </w:rPr>
        <w:t>村级集体企业</w:t>
      </w:r>
      <w:r>
        <w:rPr>
          <w:rFonts w:ascii="方正仿宋_GBK" w:hAnsi="方正仿宋_GBK" w:eastAsia="方正仿宋_GBK" w:cs="方正仿宋_GBK"/>
          <w:spacing w:val="6"/>
          <w:sz w:val="32"/>
          <w:szCs w:val="32"/>
        </w:rPr>
        <w:t>监管责</w:t>
      </w:r>
      <w:r>
        <w:rPr>
          <w:rFonts w:ascii="方正仿宋_GBK" w:hAnsi="方正仿宋_GBK" w:eastAsia="方正仿宋_GBK" w:cs="方正仿宋_GBK"/>
          <w:spacing w:val="5"/>
          <w:sz w:val="32"/>
          <w:szCs w:val="32"/>
        </w:rPr>
        <w:t>任主体，应</w:t>
      </w:r>
      <w:r>
        <w:rPr>
          <w:rFonts w:ascii="方正仿宋_GBK" w:hAnsi="方正仿宋_GBK" w:eastAsia="方正仿宋_GBK" w:cs="方正仿宋_GBK"/>
          <w:spacing w:val="7"/>
          <w:sz w:val="32"/>
          <w:szCs w:val="32"/>
        </w:rPr>
        <w:t>当明确</w:t>
      </w:r>
      <w:r>
        <w:rPr>
          <w:rFonts w:hint="eastAsia" w:ascii="方正仿宋_GBK" w:hAnsi="方正仿宋_GBK" w:eastAsia="方正仿宋_GBK" w:cs="方正仿宋_GBK"/>
          <w:spacing w:val="7"/>
          <w:sz w:val="32"/>
          <w:szCs w:val="32"/>
          <w:lang w:eastAsia="zh-CN"/>
        </w:rPr>
        <w:t>相关</w:t>
      </w:r>
      <w:r>
        <w:rPr>
          <w:rFonts w:ascii="方正仿宋_GBK" w:hAnsi="方正仿宋_GBK" w:eastAsia="方正仿宋_GBK" w:cs="方正仿宋_GBK"/>
          <w:spacing w:val="7"/>
          <w:sz w:val="32"/>
          <w:szCs w:val="32"/>
        </w:rPr>
        <w:t>单位</w:t>
      </w:r>
      <w:bookmarkStart w:id="0" w:name="_GoBack"/>
      <w:bookmarkEnd w:id="0"/>
      <w:r>
        <w:rPr>
          <w:rFonts w:ascii="方正仿宋_GBK" w:hAnsi="方正仿宋_GBK" w:eastAsia="方正仿宋_GBK" w:cs="方正仿宋_GBK"/>
          <w:spacing w:val="7"/>
          <w:sz w:val="32"/>
          <w:szCs w:val="32"/>
        </w:rPr>
        <w:t>对</w:t>
      </w:r>
      <w:r>
        <w:rPr>
          <w:rFonts w:hint="eastAsia" w:ascii="方正仿宋_GBK" w:hAnsi="方正仿宋_GBK" w:eastAsia="方正仿宋_GBK" w:cs="方正仿宋_GBK"/>
          <w:spacing w:val="6"/>
          <w:sz w:val="32"/>
          <w:szCs w:val="32"/>
          <w:lang w:val="en-US" w:eastAsia="zh-CN"/>
        </w:rPr>
        <w:t>村级集体企业</w:t>
      </w:r>
      <w:r>
        <w:rPr>
          <w:rFonts w:ascii="方正仿宋_GBK" w:hAnsi="方正仿宋_GBK" w:eastAsia="方正仿宋_GBK" w:cs="方正仿宋_GBK"/>
          <w:spacing w:val="7"/>
          <w:sz w:val="32"/>
          <w:szCs w:val="32"/>
        </w:rPr>
        <w:t>进行指导、监</w:t>
      </w:r>
      <w:r>
        <w:rPr>
          <w:rFonts w:hint="eastAsia" w:ascii="Times New Roman" w:hAnsi="Times New Roman" w:eastAsia="方正仿宋_GBK" w:cs="Times New Roman"/>
          <w:sz w:val="32"/>
          <w:szCs w:val="32"/>
          <w:lang w:val="en-US" w:eastAsia="zh-CN"/>
        </w:rPr>
        <w:t>督。镇（区、街道）要定期对</w:t>
      </w:r>
      <w:r>
        <w:rPr>
          <w:rFonts w:hint="eastAsia" w:ascii="方正仿宋_GBK" w:hAnsi="方正仿宋_GBK" w:eastAsia="方正仿宋_GBK" w:cs="方正仿宋_GBK"/>
          <w:spacing w:val="6"/>
          <w:sz w:val="32"/>
          <w:szCs w:val="32"/>
          <w:lang w:val="en-US" w:eastAsia="zh-CN"/>
        </w:rPr>
        <w:t>村级集体企业</w:t>
      </w:r>
      <w:r>
        <w:rPr>
          <w:rFonts w:hint="eastAsia" w:ascii="Times New Roman" w:hAnsi="Times New Roman" w:eastAsia="方正仿宋_GBK" w:cs="Times New Roman"/>
          <w:sz w:val="32"/>
          <w:szCs w:val="32"/>
          <w:lang w:val="en-US" w:eastAsia="zh-CN"/>
        </w:rPr>
        <w:t>开展财务情况督查、抽查。</w:t>
      </w:r>
      <w:r>
        <w:rPr>
          <w:rFonts w:hint="eastAsia" w:ascii="方正仿宋_GBK" w:hAnsi="方正仿宋_GBK" w:eastAsia="方正仿宋_GBK" w:cs="方正仿宋_GBK"/>
          <w:spacing w:val="6"/>
          <w:sz w:val="32"/>
          <w:szCs w:val="32"/>
          <w:lang w:val="en-US" w:eastAsia="zh-CN"/>
        </w:rPr>
        <w:t>村级集体企业</w:t>
      </w:r>
      <w:r>
        <w:rPr>
          <w:rFonts w:hint="eastAsia" w:ascii="Times New Roman" w:hAnsi="Times New Roman" w:eastAsia="方正仿宋_GBK" w:cs="Times New Roman"/>
          <w:sz w:val="32"/>
          <w:szCs w:val="32"/>
          <w:lang w:val="en-US" w:eastAsia="zh-CN"/>
        </w:rPr>
        <w:t>应纳入村级集体经济审计范围，积极配合有关部门组织的巡察和审计。</w:t>
      </w:r>
    </w:p>
    <w:p w14:paraId="780B9673">
      <w:pPr>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lang w:val="en-US" w:eastAsia="zh-CN"/>
        </w:rPr>
        <w:t>对违反村级集体企业有关管理规定的行为和问题，将根据情节轻重追究相关责任人的责任；情节严重的，严格按照法律法规规章进行处理；涉嫌犯罪的，移送司法机关处理。</w:t>
      </w:r>
    </w:p>
    <w:p w14:paraId="07A493CE">
      <w:pPr>
        <w:widowControl w:val="0"/>
        <w:jc w:val="both"/>
        <w:rPr>
          <w:rFonts w:ascii="Times New Roman" w:hAnsi="Times New Roman" w:eastAsia="仿宋_GB2312" w:cs="Times New Roman"/>
          <w:b/>
          <w:bCs/>
          <w:kern w:val="2"/>
          <w:sz w:val="32"/>
          <w:szCs w:val="32"/>
          <w:lang w:val="en-US" w:eastAsia="zh-CN" w:bidi="ar-SA"/>
        </w:rPr>
      </w:pPr>
    </w:p>
    <w:p w14:paraId="7B215C8B">
      <w:pPr>
        <w:spacing w:line="580" w:lineRule="exact"/>
        <w:jc w:val="center"/>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六</w:t>
      </w:r>
      <w:r>
        <w:rPr>
          <w:rFonts w:hint="eastAsia" w:ascii="Times New Roman" w:hAnsi="Times New Roman" w:eastAsia="方正黑体_GBK" w:cs="Times New Roman"/>
          <w:sz w:val="32"/>
          <w:szCs w:val="32"/>
        </w:rPr>
        <w:t>章</w:t>
      </w:r>
      <w:r>
        <w:rPr>
          <w:rFonts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lang w:val="en-US" w:eastAsia="zh-CN"/>
        </w:rPr>
        <w:t>档案管理</w:t>
      </w:r>
    </w:p>
    <w:p w14:paraId="3161EBB7">
      <w:pPr>
        <w:spacing w:line="580" w:lineRule="exact"/>
        <w:ind w:firstLine="640" w:firstLineChars="200"/>
        <w:rPr>
          <w:rFonts w:ascii="Times New Roman" w:hAnsi="Times New Roman" w:eastAsia="方正黑体_GBK" w:cs="Times New Roman"/>
          <w:sz w:val="32"/>
          <w:szCs w:val="32"/>
        </w:rPr>
      </w:pPr>
    </w:p>
    <w:p w14:paraId="24373C0B">
      <w:pPr>
        <w:spacing w:line="58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条</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村级集体企业执行企业会计核算制度。公司必须设置会计账簿，按规定设置会计科目，并保证其真实、完整，即会计设有总账、明细账、固定资产账，出纳设有现金日记账。</w:t>
      </w:r>
    </w:p>
    <w:p w14:paraId="5A433747">
      <w:pPr>
        <w:spacing w:line="58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三</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hint="eastAsia" w:ascii="Times New Roman" w:hAnsi="Times New Roman" w:eastAsia="方正仿宋_GBK" w:cs="Times New Roman"/>
          <w:sz w:val="32"/>
          <w:szCs w:val="32"/>
          <w:lang w:val="en-US" w:eastAsia="zh-CN"/>
        </w:rPr>
        <w:t>村级集体企业应当按照《会计档案管理办法》等有关规定，加强会计档案建设和管理，要设立档案专储柜，妥善保管各项会计资料，做到内容齐全、归档及时、装订成册、存放有序、查找方便。</w:t>
      </w:r>
    </w:p>
    <w:p w14:paraId="7599F36D">
      <w:pPr>
        <w:spacing w:line="580" w:lineRule="exact"/>
        <w:jc w:val="center"/>
        <w:rPr>
          <w:rFonts w:hint="eastAsia" w:ascii="Times New Roman" w:hAnsi="Times New Roman" w:eastAsia="方正黑体_GBK" w:cs="Times New Roman"/>
          <w:sz w:val="32"/>
          <w:szCs w:val="32"/>
        </w:rPr>
      </w:pPr>
    </w:p>
    <w:p w14:paraId="4948ECEB">
      <w:pPr>
        <w:spacing w:line="580" w:lineRule="exact"/>
        <w:jc w:val="center"/>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七</w:t>
      </w:r>
      <w:r>
        <w:rPr>
          <w:rFonts w:hint="eastAsia" w:ascii="Times New Roman" w:hAnsi="Times New Roman" w:eastAsia="方正黑体_GBK" w:cs="Times New Roman"/>
          <w:sz w:val="32"/>
          <w:szCs w:val="32"/>
        </w:rPr>
        <w:t>章</w:t>
      </w:r>
      <w:r>
        <w:rPr>
          <w:rFonts w:ascii="Times New Roman" w:hAnsi="Times New Roman" w:eastAsia="方正黑体_GBK" w:cs="Times New Roman"/>
          <w:sz w:val="32"/>
          <w:szCs w:val="32"/>
        </w:rPr>
        <w:t xml:space="preserve">  附</w:t>
      </w:r>
      <w:r>
        <w:rPr>
          <w:rFonts w:hint="eastAsia" w:ascii="Times New Roman" w:hAnsi="Times New Roman" w:eastAsia="方正黑体_GBK" w:cs="Times New Roman"/>
          <w:sz w:val="32"/>
          <w:szCs w:val="32"/>
        </w:rPr>
        <w:t xml:space="preserve">  </w:t>
      </w:r>
      <w:r>
        <w:rPr>
          <w:rFonts w:ascii="Times New Roman" w:hAnsi="Times New Roman" w:eastAsia="方正黑体_GBK" w:cs="Times New Roman"/>
          <w:sz w:val="32"/>
          <w:szCs w:val="32"/>
        </w:rPr>
        <w:t>则</w:t>
      </w:r>
    </w:p>
    <w:p w14:paraId="0B63B6FD">
      <w:pPr>
        <w:spacing w:line="580" w:lineRule="exact"/>
        <w:ind w:firstLine="640" w:firstLineChars="200"/>
        <w:rPr>
          <w:rFonts w:ascii="Times New Roman" w:hAnsi="Times New Roman" w:eastAsia="方正黑体_GBK" w:cs="Times New Roman"/>
          <w:sz w:val="32"/>
          <w:szCs w:val="32"/>
        </w:rPr>
      </w:pPr>
    </w:p>
    <w:p w14:paraId="6095AB9E">
      <w:pPr>
        <w:spacing w:line="580" w:lineRule="exact"/>
        <w:ind w:firstLine="640" w:firstLineChars="200"/>
        <w:rPr>
          <w:rFonts w:hint="eastAsia"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四</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hint="default" w:ascii="Times New Roman" w:hAnsi="Times New Roman" w:eastAsia="方正仿宋_GBK" w:cs="Times New Roman"/>
          <w:sz w:val="32"/>
          <w:szCs w:val="32"/>
          <w:lang w:val="en-US" w:eastAsia="zh-CN"/>
        </w:rPr>
        <w:t>本办法自发文之日起</w:t>
      </w:r>
      <w:r>
        <w:rPr>
          <w:rFonts w:hint="eastAsia" w:ascii="Times New Roman" w:hAnsi="Times New Roman" w:eastAsia="方正仿宋_GBK" w:cs="Times New Roman"/>
          <w:sz w:val="32"/>
          <w:szCs w:val="32"/>
          <w:lang w:val="en-US" w:eastAsia="zh-CN"/>
        </w:rPr>
        <w:t>实施</w:t>
      </w:r>
      <w:r>
        <w:rPr>
          <w:rFonts w:hint="default" w:ascii="Times New Roman" w:hAnsi="Times New Roman" w:eastAsia="方正仿宋_GBK" w:cs="Times New Roman"/>
          <w:sz w:val="32"/>
          <w:szCs w:val="32"/>
          <w:lang w:val="en-US" w:eastAsia="zh-CN"/>
        </w:rPr>
        <w:t>，本办法与法律法规、上级文件规定不相符的，按照法律法规、上级文件规定执行。</w:t>
      </w:r>
    </w:p>
    <w:p w14:paraId="712F5128">
      <w:pPr>
        <w:spacing w:before="66" w:line="323" w:lineRule="auto"/>
        <w:ind w:left="649" w:right="107"/>
        <w:rPr>
          <w:rFonts w:hint="default"/>
          <w:lang w:val="en-US" w:eastAsia="zh-CN"/>
        </w:rPr>
      </w:pPr>
      <w:r>
        <w:rPr>
          <w:rFonts w:ascii="Times New Roman" w:hAnsi="Times New Roman" w:eastAsia="方正黑体_GBK" w:cs="Times New Roman"/>
          <w:sz w:val="32"/>
          <w:szCs w:val="32"/>
        </w:rPr>
        <w:t>第</w:t>
      </w:r>
      <w:r>
        <w:rPr>
          <w:rFonts w:hint="eastAsia" w:ascii="Times New Roman" w:hAnsi="Times New Roman" w:eastAsia="方正黑体_GBK" w:cs="Times New Roman"/>
          <w:sz w:val="32"/>
          <w:szCs w:val="32"/>
          <w:lang w:val="en-US" w:eastAsia="zh-CN"/>
        </w:rPr>
        <w:t>二</w:t>
      </w: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五</w:t>
      </w:r>
      <w:r>
        <w:rPr>
          <w:rFonts w:ascii="Times New Roman" w:hAnsi="Times New Roman" w:eastAsia="方正黑体_GBK" w:cs="Times New Roman"/>
          <w:sz w:val="32"/>
          <w:szCs w:val="32"/>
        </w:rPr>
        <w:t>条</w:t>
      </w:r>
      <w:r>
        <w:rPr>
          <w:rFonts w:hint="eastAsia" w:ascii="Times New Roman" w:hAnsi="Times New Roman" w:eastAsia="方正黑体_GBK" w:cs="Times New Roman"/>
          <w:sz w:val="32"/>
          <w:szCs w:val="32"/>
        </w:rPr>
        <w:t xml:space="preserve">  </w:t>
      </w:r>
      <w:r>
        <w:rPr>
          <w:rFonts w:ascii="Times New Roman" w:hAnsi="Times New Roman" w:eastAsia="方正仿宋_GBK" w:cs="Times New Roman"/>
          <w:sz w:val="32"/>
          <w:szCs w:val="32"/>
        </w:rPr>
        <w:t>本办法由区农业农村局负责解释。</w:t>
      </w:r>
    </w:p>
    <w:sectPr>
      <w:footerReference r:id="rId3" w:type="default"/>
      <w:pgSz w:w="11906" w:h="16838"/>
      <w:pgMar w:top="2098"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C7DA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82BB0">
                          <w:pPr>
                            <w:pStyle w:val="5"/>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782BB0">
                    <w:pPr>
                      <w:pStyle w:val="5"/>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NjA5NGJmMWZiZDYyMmY2ODMwNDU4NmJiZjdkNzEifQ=="/>
    <w:docVar w:name="KSO_WPS_MARK_KEY" w:val="69d58d4f-e914-4f9f-a6a7-5da21cedb368"/>
  </w:docVars>
  <w:rsids>
    <w:rsidRoot w:val="1D76603E"/>
    <w:rsid w:val="004A7A58"/>
    <w:rsid w:val="008C4F04"/>
    <w:rsid w:val="0127533C"/>
    <w:rsid w:val="025B0D98"/>
    <w:rsid w:val="02B726F0"/>
    <w:rsid w:val="03EE37AF"/>
    <w:rsid w:val="03FC5BBC"/>
    <w:rsid w:val="06147E59"/>
    <w:rsid w:val="077614EF"/>
    <w:rsid w:val="07AB4732"/>
    <w:rsid w:val="095011A8"/>
    <w:rsid w:val="0BB84EE1"/>
    <w:rsid w:val="0DF77E44"/>
    <w:rsid w:val="0E323572"/>
    <w:rsid w:val="0E947D89"/>
    <w:rsid w:val="0F2904D1"/>
    <w:rsid w:val="0FDB5C66"/>
    <w:rsid w:val="117D3E75"/>
    <w:rsid w:val="11AC730F"/>
    <w:rsid w:val="134B1F88"/>
    <w:rsid w:val="13CF2BC3"/>
    <w:rsid w:val="170A68E7"/>
    <w:rsid w:val="176A4FD0"/>
    <w:rsid w:val="18771EB1"/>
    <w:rsid w:val="187A3B4C"/>
    <w:rsid w:val="192C00F1"/>
    <w:rsid w:val="19596BD7"/>
    <w:rsid w:val="1ACC373D"/>
    <w:rsid w:val="1D4E7018"/>
    <w:rsid w:val="1D76603E"/>
    <w:rsid w:val="1E290464"/>
    <w:rsid w:val="210D392C"/>
    <w:rsid w:val="21E90CBF"/>
    <w:rsid w:val="237760F0"/>
    <w:rsid w:val="241C637E"/>
    <w:rsid w:val="25CE0F07"/>
    <w:rsid w:val="2604539D"/>
    <w:rsid w:val="27066E83"/>
    <w:rsid w:val="294C32E2"/>
    <w:rsid w:val="298F31CF"/>
    <w:rsid w:val="2BE617CC"/>
    <w:rsid w:val="2C6B3A80"/>
    <w:rsid w:val="2E9C6FC9"/>
    <w:rsid w:val="2FCC0CD9"/>
    <w:rsid w:val="31C70775"/>
    <w:rsid w:val="3233353B"/>
    <w:rsid w:val="32FB29D8"/>
    <w:rsid w:val="34D55A20"/>
    <w:rsid w:val="34F74563"/>
    <w:rsid w:val="366E33ED"/>
    <w:rsid w:val="386B55BB"/>
    <w:rsid w:val="3B645E75"/>
    <w:rsid w:val="3B8E1747"/>
    <w:rsid w:val="3C5E0F0B"/>
    <w:rsid w:val="3E38219C"/>
    <w:rsid w:val="3FA259CA"/>
    <w:rsid w:val="4019244A"/>
    <w:rsid w:val="40B437EF"/>
    <w:rsid w:val="41E023C2"/>
    <w:rsid w:val="458064F7"/>
    <w:rsid w:val="46226BF4"/>
    <w:rsid w:val="466E359D"/>
    <w:rsid w:val="487558F3"/>
    <w:rsid w:val="48F50E49"/>
    <w:rsid w:val="493849E0"/>
    <w:rsid w:val="4A7162AD"/>
    <w:rsid w:val="4B6127C6"/>
    <w:rsid w:val="4B7E1BD4"/>
    <w:rsid w:val="4E080D95"/>
    <w:rsid w:val="4EAE5351"/>
    <w:rsid w:val="508845AA"/>
    <w:rsid w:val="51B91DCE"/>
    <w:rsid w:val="52BB28B4"/>
    <w:rsid w:val="53DC50DF"/>
    <w:rsid w:val="547B4BB9"/>
    <w:rsid w:val="54C74543"/>
    <w:rsid w:val="54D70730"/>
    <w:rsid w:val="555313D1"/>
    <w:rsid w:val="555E38D2"/>
    <w:rsid w:val="55E42029"/>
    <w:rsid w:val="5632548A"/>
    <w:rsid w:val="57B27F05"/>
    <w:rsid w:val="59837DAB"/>
    <w:rsid w:val="5A5A6D5E"/>
    <w:rsid w:val="5BA65CCD"/>
    <w:rsid w:val="5C8819FC"/>
    <w:rsid w:val="5D0943CC"/>
    <w:rsid w:val="5D1C479E"/>
    <w:rsid w:val="5D683D9A"/>
    <w:rsid w:val="5D77097A"/>
    <w:rsid w:val="5F40662E"/>
    <w:rsid w:val="6004500D"/>
    <w:rsid w:val="60B660E6"/>
    <w:rsid w:val="622440FF"/>
    <w:rsid w:val="62641E17"/>
    <w:rsid w:val="65CA6614"/>
    <w:rsid w:val="67F6002B"/>
    <w:rsid w:val="689A73B3"/>
    <w:rsid w:val="6942733B"/>
    <w:rsid w:val="6CBF5146"/>
    <w:rsid w:val="71D451F0"/>
    <w:rsid w:val="725031F6"/>
    <w:rsid w:val="75082513"/>
    <w:rsid w:val="76845473"/>
    <w:rsid w:val="78ED02C3"/>
    <w:rsid w:val="7C744D90"/>
    <w:rsid w:val="7CCD24D4"/>
    <w:rsid w:val="7CF36E72"/>
    <w:rsid w:val="7DA55C93"/>
    <w:rsid w:val="7DA7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before="33" w:after="100" w:afterAutospacing="1"/>
      <w:ind w:left="101" w:firstLine="420" w:firstLineChars="100"/>
    </w:pPr>
    <w:rPr>
      <w:rFonts w:ascii="宋体" w:hAnsi="宋体"/>
      <w:sz w:val="32"/>
      <w:szCs w:val="32"/>
    </w:rPr>
  </w:style>
  <w:style w:type="paragraph" w:styleId="3">
    <w:name w:val="Body Text"/>
    <w:basedOn w:val="1"/>
    <w:next w:val="2"/>
    <w:unhideWhenUsed/>
    <w:qFormat/>
    <w:uiPriority w:val="99"/>
    <w:pPr>
      <w:spacing w:after="120"/>
    </w:pPr>
  </w:style>
  <w:style w:type="paragraph" w:styleId="4">
    <w:name w:val="HTML Address"/>
    <w:basedOn w:val="1"/>
    <w:autoRedefine/>
    <w:qFormat/>
    <w:uiPriority w:val="0"/>
    <w:pPr>
      <w:tabs>
        <w:tab w:val="left" w:pos="425"/>
      </w:tabs>
    </w:pPr>
    <w:rPr>
      <w:i/>
      <w:iCs/>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index heading"/>
    <w:basedOn w:val="1"/>
    <w:next w:val="8"/>
    <w:autoRedefine/>
    <w:semiHidden/>
    <w:qFormat/>
    <w:uiPriority w:val="0"/>
    <w:rPr>
      <w:rFonts w:ascii="Arial" w:hAnsi="Arial" w:cs="Arial"/>
      <w:b/>
      <w:bCs/>
    </w:rPr>
  </w:style>
  <w:style w:type="paragraph" w:styleId="8">
    <w:name w:val="index 1"/>
    <w:basedOn w:val="1"/>
    <w:next w:val="1"/>
    <w:autoRedefine/>
    <w:semiHidden/>
    <w:qFormat/>
    <w:uiPriority w:val="0"/>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3621</Words>
  <Characters>3623</Characters>
  <Lines>0</Lines>
  <Paragraphs>0</Paragraphs>
  <TotalTime>3</TotalTime>
  <ScaleCrop>false</ScaleCrop>
  <LinksUpToDate>false</LinksUpToDate>
  <CharactersWithSpaces>3691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2023-03-02T07:12:00Z</dcterms:created>
  <dc:creator>_NoReason</dc:creator>
  <cp:lastModifiedBy>Tina</cp:lastModifiedBy>
  <cp:lastPrinted>2024-07-29T02:07:00Z</cp:lastPrinted>
  <dcterms:modified xsi:type="dcterms:W3CDTF">2026-07-09T08:06:00Z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770F92DF35CA4100A0264FFB8049B71A_13</vt:lpwstr>
  </property>
  <property fmtid="{D5CDD505-2E9C-101B-9397-08002B2CF9AE}" pid="4" name="KSOTemplateDocerSaveRecord">
    <vt:lpwstr>eyJoZGlkIjoiMmFiMjY1MTBiMDM0NTVjZTVhNjA4ZTk3MGUyNWIzNDYiLCJ1c2VySWQiOiIzOTc0MjM4NjgifQ==</vt:lpwstr>
  </property>
</Properties>
</file>