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49B04">
      <w:pPr>
        <w:spacing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5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盐城市</w:t>
      </w:r>
      <w:bookmarkStart w:id="0" w:name="OLE_LINK3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盐都区科技赋能农业强区建设</w:t>
      </w:r>
    </w:p>
    <w:p w14:paraId="4AF00DBC">
      <w:pPr>
        <w:spacing w:line="59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行动方案</w:t>
      </w:r>
      <w:bookmarkEnd w:id="0"/>
    </w:p>
    <w:bookmarkEnd w:id="5"/>
    <w:p w14:paraId="44AB783D">
      <w:pPr>
        <w:snapToGrid w:val="0"/>
        <w:spacing w:line="560" w:lineRule="exact"/>
        <w:jc w:val="center"/>
        <w:rPr>
          <w:rFonts w:ascii="方正楷体_GBK" w:hAnsi="方正楷体_GBK" w:eastAsia="方正楷体_GBK" w:cs="方正楷体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sz w:val="32"/>
          <w:szCs w:val="32"/>
          <w:lang w:val="en-US" w:eastAsia="zh-CN"/>
        </w:rPr>
        <w:t>网上</w:t>
      </w:r>
      <w:r>
        <w:rPr>
          <w:rFonts w:hint="eastAsia" w:ascii="方正楷体_GBK" w:hAnsi="方正楷体_GBK" w:eastAsia="方正楷体_GBK" w:cs="方正楷体_GBK"/>
          <w:sz w:val="32"/>
          <w:szCs w:val="32"/>
        </w:rPr>
        <w:t>征求意见稿）</w:t>
      </w:r>
    </w:p>
    <w:p w14:paraId="0C3155E3">
      <w:pPr>
        <w:snapToGrid w:val="0"/>
        <w:spacing w:line="560" w:lineRule="exact"/>
        <w:rPr>
          <w:rFonts w:ascii="Times New Roman" w:hAnsi="Times New Roman" w:eastAsia="方正仿宋_GBK"/>
          <w:sz w:val="32"/>
          <w:szCs w:val="32"/>
        </w:rPr>
      </w:pPr>
    </w:p>
    <w:p w14:paraId="6991C0FD">
      <w:pPr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为深入贯彻落实习近平总书记关于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“三农”</w:t>
      </w:r>
      <w:r>
        <w:rPr>
          <w:rFonts w:ascii="Times New Roman" w:hAnsi="Times New Roman" w:eastAsia="方正仿宋_GBK"/>
          <w:sz w:val="32"/>
          <w:szCs w:val="32"/>
        </w:rPr>
        <w:t>工作的重要论述精神，充分发挥科技创新核心引领作用，扎实推进农业科技创新与产业创新深度融合，加快发展农业新质生产力，以高水平农业科技创新支撑农业强区建设，</w:t>
      </w:r>
      <w:r>
        <w:rPr>
          <w:rFonts w:hint="eastAsia" w:ascii="方正仿宋_GBK" w:hAnsi="Times New Roman" w:eastAsia="方正仿宋_GBK"/>
          <w:sz w:val="32"/>
          <w:szCs w:val="32"/>
        </w:rPr>
        <w:t>制定本行动方案。</w:t>
      </w:r>
    </w:p>
    <w:p w14:paraId="7068A4CF">
      <w:pPr>
        <w:snapToGrid w:val="0"/>
        <w:spacing w:line="560" w:lineRule="exact"/>
        <w:ind w:firstLine="680" w:firstLineChars="200"/>
        <w:rPr>
          <w:rFonts w:ascii="Times New Roman" w:hAnsi="Times New Roman" w:eastAsia="方正仿宋_GBK"/>
          <w:sz w:val="34"/>
          <w:szCs w:val="34"/>
        </w:rPr>
      </w:pPr>
      <w:r>
        <w:rPr>
          <w:rFonts w:ascii="Times New Roman" w:hAnsi="Times New Roman" w:eastAsia="方正黑体_GBK"/>
          <w:sz w:val="34"/>
          <w:szCs w:val="34"/>
        </w:rPr>
        <w:t>一、主要目标</w:t>
      </w:r>
    </w:p>
    <w:p w14:paraId="65FE74F4">
      <w:pPr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——</w:t>
      </w:r>
      <w:r>
        <w:rPr>
          <w:rFonts w:ascii="Times New Roman" w:hAnsi="Times New Roman" w:eastAsia="方正楷体_GBK"/>
          <w:sz w:val="32"/>
          <w:szCs w:val="32"/>
        </w:rPr>
        <w:t>优化农业科技创新力量布局</w:t>
      </w:r>
      <w:r>
        <w:rPr>
          <w:rFonts w:ascii="Times New Roman" w:hAnsi="Times New Roman" w:eastAsia="方正仿宋_GBK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发挥</w:t>
      </w:r>
      <w:r>
        <w:rPr>
          <w:rFonts w:ascii="Times New Roman" w:hAnsi="Times New Roman" w:eastAsia="方正仿宋_GBK"/>
          <w:sz w:val="32"/>
          <w:szCs w:val="32"/>
        </w:rPr>
        <w:t>区农科所、张洪程院士工作站等种业研发</w:t>
      </w:r>
      <w:r>
        <w:rPr>
          <w:rFonts w:hint="eastAsia" w:ascii="Times New Roman" w:hAnsi="Times New Roman" w:eastAsia="方正仿宋_GBK"/>
          <w:sz w:val="32"/>
          <w:szCs w:val="32"/>
        </w:rPr>
        <w:t>技术</w:t>
      </w:r>
      <w:r>
        <w:rPr>
          <w:rFonts w:ascii="Times New Roman" w:hAnsi="Times New Roman" w:eastAsia="方正仿宋_GBK"/>
          <w:sz w:val="32"/>
          <w:szCs w:val="32"/>
        </w:rPr>
        <w:t>优势，在七星农场、神农大丰</w:t>
      </w:r>
      <w:r>
        <w:rPr>
          <w:rFonts w:hint="eastAsia" w:ascii="Times New Roman" w:hAnsi="Times New Roman" w:eastAsia="方正仿宋_GBK"/>
          <w:sz w:val="32"/>
          <w:szCs w:val="32"/>
        </w:rPr>
        <w:t>等</w:t>
      </w:r>
      <w:r>
        <w:rPr>
          <w:rFonts w:ascii="Times New Roman" w:hAnsi="Times New Roman" w:eastAsia="方正仿宋_GBK"/>
          <w:sz w:val="32"/>
          <w:szCs w:val="32"/>
        </w:rPr>
        <w:t>基地建</w:t>
      </w:r>
      <w:r>
        <w:rPr>
          <w:rFonts w:hint="eastAsia" w:ascii="Times New Roman" w:hAnsi="Times New Roman" w:eastAsia="方正仿宋_GBK"/>
          <w:sz w:val="32"/>
          <w:szCs w:val="32"/>
        </w:rPr>
        <w:t>设</w:t>
      </w:r>
      <w:r>
        <w:rPr>
          <w:rFonts w:ascii="Times New Roman" w:hAnsi="Times New Roman" w:eastAsia="方正仿宋_GBK"/>
          <w:sz w:val="32"/>
          <w:szCs w:val="32"/>
        </w:rPr>
        <w:t>分子育种、品质育种等实验室，加强实验室、技术创新中心等</w:t>
      </w:r>
      <w:r>
        <w:rPr>
          <w:rFonts w:hint="eastAsia" w:ascii="Times New Roman" w:hAnsi="Times New Roman" w:eastAsia="方正仿宋_GBK"/>
          <w:sz w:val="32"/>
          <w:szCs w:val="32"/>
        </w:rPr>
        <w:t>配套</w:t>
      </w:r>
      <w:r>
        <w:rPr>
          <w:rFonts w:ascii="Times New Roman" w:hAnsi="Times New Roman" w:eastAsia="方正仿宋_GBK"/>
          <w:sz w:val="32"/>
          <w:szCs w:val="32"/>
        </w:rPr>
        <w:t>设施建设，打造一批农业科技创新平台载体。</w:t>
      </w:r>
    </w:p>
    <w:p w14:paraId="22D65CE2">
      <w:pPr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楷体_GBK"/>
          <w:sz w:val="32"/>
          <w:szCs w:val="32"/>
        </w:rPr>
        <w:t>——发挥农业科创企业主体作用</w:t>
      </w:r>
      <w:r>
        <w:rPr>
          <w:rFonts w:ascii="Times New Roman" w:hAnsi="Times New Roman" w:eastAsia="方正仿宋_GBK"/>
          <w:sz w:val="32"/>
          <w:szCs w:val="32"/>
        </w:rPr>
        <w:t>。鼓励农业龙头企业加大研发投入，</w:t>
      </w:r>
      <w:r>
        <w:rPr>
          <w:rFonts w:hint="eastAsia" w:ascii="Times New Roman" w:hAnsi="Times New Roman" w:eastAsia="方正仿宋_GBK"/>
          <w:sz w:val="32"/>
          <w:szCs w:val="32"/>
        </w:rPr>
        <w:t>围绕</w:t>
      </w:r>
      <w:r>
        <w:rPr>
          <w:rFonts w:ascii="Times New Roman" w:hAnsi="Times New Roman" w:eastAsia="方正仿宋_GBK"/>
          <w:sz w:val="32"/>
          <w:szCs w:val="32"/>
        </w:rPr>
        <w:t>稻麦、水产、园艺</w:t>
      </w:r>
      <w:r>
        <w:rPr>
          <w:rFonts w:hint="eastAsia" w:ascii="Times New Roman" w:hAnsi="Times New Roman" w:eastAsia="方正仿宋_GBK"/>
          <w:sz w:val="32"/>
          <w:szCs w:val="32"/>
        </w:rPr>
        <w:t>等领域</w:t>
      </w:r>
      <w:r>
        <w:rPr>
          <w:rFonts w:ascii="Times New Roman" w:hAnsi="Times New Roman" w:eastAsia="方正仿宋_GBK"/>
          <w:sz w:val="32"/>
          <w:szCs w:val="32"/>
        </w:rPr>
        <w:t>，强化科技创新，选育新品种，打造新品牌，育成5</w:t>
      </w:r>
      <w:r>
        <w:rPr>
          <w:rFonts w:hint="eastAsia" w:ascii="Times New Roman" w:hAnsi="Times New Roman" w:eastAsia="方正仿宋_GBK"/>
          <w:sz w:val="32"/>
          <w:szCs w:val="32"/>
        </w:rPr>
        <w:t>—</w:t>
      </w:r>
      <w:r>
        <w:rPr>
          <w:rFonts w:ascii="Times New Roman" w:hAnsi="Times New Roman" w:eastAsia="方正仿宋_GBK"/>
          <w:sz w:val="32"/>
          <w:szCs w:val="32"/>
        </w:rPr>
        <w:t>7个具有较高推广价值的新品种。加大科技企业引育，到2028年，全区新增涉农科技型中小企业</w:t>
      </w:r>
      <w:r>
        <w:rPr>
          <w:rFonts w:hint="eastAsia" w:ascii="Times New Roman" w:hAnsi="Times New Roman" w:eastAsia="方正仿宋_GBK"/>
          <w:sz w:val="32"/>
          <w:szCs w:val="32"/>
        </w:rPr>
        <w:t>45</w:t>
      </w:r>
      <w:r>
        <w:rPr>
          <w:rFonts w:ascii="Times New Roman" w:hAnsi="Times New Roman" w:eastAsia="方正仿宋_GBK"/>
          <w:sz w:val="32"/>
          <w:szCs w:val="32"/>
        </w:rPr>
        <w:t>家、高新技术企业</w:t>
      </w:r>
      <w:r>
        <w:rPr>
          <w:rFonts w:hint="eastAsia" w:ascii="Times New Roman" w:hAnsi="Times New Roman" w:eastAsia="方正仿宋_GBK"/>
          <w:sz w:val="32"/>
          <w:szCs w:val="32"/>
        </w:rPr>
        <w:t>9</w:t>
      </w:r>
      <w:r>
        <w:rPr>
          <w:rFonts w:ascii="Times New Roman" w:hAnsi="Times New Roman" w:eastAsia="方正仿宋_GBK"/>
          <w:sz w:val="32"/>
          <w:szCs w:val="32"/>
        </w:rPr>
        <w:t>家。</w:t>
      </w:r>
    </w:p>
    <w:p w14:paraId="7639BFE0">
      <w:pPr>
        <w:spacing w:line="560" w:lineRule="exact"/>
        <w:ind w:firstLine="640" w:firstLineChars="200"/>
        <w:rPr>
          <w:rFonts w:ascii="Times New Roman" w:hAnsi="Times New Roman" w:eastAsia="方正仿宋_GBK"/>
          <w:color w:val="FF0000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——</w:t>
      </w:r>
      <w:r>
        <w:rPr>
          <w:rFonts w:ascii="Times New Roman" w:hAnsi="Times New Roman" w:eastAsia="方正楷体_GBK"/>
          <w:sz w:val="32"/>
          <w:szCs w:val="32"/>
        </w:rPr>
        <w:t>突出农业科技成果推广转化</w:t>
      </w:r>
      <w:r>
        <w:rPr>
          <w:rFonts w:ascii="Times New Roman" w:hAnsi="Times New Roman" w:eastAsia="方正仿宋_GBK"/>
          <w:sz w:val="32"/>
          <w:szCs w:val="32"/>
        </w:rPr>
        <w:t>。按照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2+14+N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模式，推进区域性农业综合服务中心建设，</w:t>
      </w:r>
      <w:r>
        <w:rPr>
          <w:rFonts w:hint="eastAsia" w:ascii="Times New Roman" w:hAnsi="Times New Roman" w:eastAsia="方正仿宋_GBK"/>
          <w:sz w:val="32"/>
          <w:szCs w:val="32"/>
        </w:rPr>
        <w:t>构建</w:t>
      </w:r>
      <w:r>
        <w:rPr>
          <w:rFonts w:ascii="Times New Roman" w:hAnsi="Times New Roman" w:eastAsia="方正仿宋_GBK"/>
          <w:sz w:val="32"/>
          <w:szCs w:val="32"/>
        </w:rPr>
        <w:t>便捷高效的推广服务体系，</w:t>
      </w:r>
      <w:r>
        <w:rPr>
          <w:rFonts w:hint="eastAsia" w:ascii="Times New Roman" w:hAnsi="Times New Roman" w:eastAsia="方正仿宋_GBK"/>
          <w:sz w:val="32"/>
          <w:szCs w:val="32"/>
        </w:rPr>
        <w:t>3年内</w:t>
      </w:r>
      <w:r>
        <w:rPr>
          <w:rFonts w:ascii="Times New Roman" w:hAnsi="Times New Roman" w:eastAsia="方正仿宋_GBK"/>
          <w:sz w:val="32"/>
          <w:szCs w:val="32"/>
        </w:rPr>
        <w:t>新增各类农业机械5000台</w:t>
      </w:r>
      <w:r>
        <w:rPr>
          <w:rFonts w:hint="eastAsia" w:ascii="Times New Roman" w:hAnsi="Times New Roman" w:eastAsia="方正仿宋_GBK"/>
          <w:sz w:val="32"/>
          <w:szCs w:val="32"/>
        </w:rPr>
        <w:t>（</w:t>
      </w:r>
      <w:r>
        <w:rPr>
          <w:rFonts w:ascii="Times New Roman" w:hAnsi="Times New Roman" w:eastAsia="方正仿宋_GBK"/>
          <w:sz w:val="32"/>
          <w:szCs w:val="32"/>
        </w:rPr>
        <w:t>套</w:t>
      </w:r>
      <w:r>
        <w:rPr>
          <w:rFonts w:hint="eastAsia" w:ascii="Times New Roman" w:hAnsi="Times New Roman" w:eastAsia="方正仿宋_GBK"/>
          <w:sz w:val="32"/>
          <w:szCs w:val="32"/>
        </w:rPr>
        <w:t>）</w:t>
      </w:r>
      <w:r>
        <w:rPr>
          <w:rFonts w:ascii="Times New Roman" w:hAnsi="Times New Roman" w:eastAsia="方正仿宋_GBK"/>
          <w:sz w:val="32"/>
          <w:szCs w:val="32"/>
        </w:rPr>
        <w:t>以上，高水平打造科技示范展示</w:t>
      </w:r>
      <w:r>
        <w:rPr>
          <w:rFonts w:hint="eastAsia" w:ascii="Times New Roman" w:hAnsi="Times New Roman" w:eastAsia="方正仿宋_GBK"/>
          <w:sz w:val="32"/>
          <w:szCs w:val="32"/>
        </w:rPr>
        <w:t>场所</w:t>
      </w:r>
      <w:r>
        <w:rPr>
          <w:rFonts w:ascii="Times New Roman" w:hAnsi="Times New Roman" w:eastAsia="方正仿宋_GBK"/>
          <w:sz w:val="32"/>
          <w:szCs w:val="32"/>
        </w:rPr>
        <w:t>4个以上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  <w:r>
        <w:rPr>
          <w:rFonts w:ascii="Times New Roman" w:hAnsi="Times New Roman" w:eastAsia="方正仿宋_GBK"/>
          <w:sz w:val="32"/>
          <w:szCs w:val="32"/>
        </w:rPr>
        <w:t>到2028年，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全区</w:t>
      </w:r>
      <w:bookmarkStart w:id="1" w:name="OLE_LINK2"/>
      <w:bookmarkStart w:id="2" w:name="OLE_LINK1"/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综合农业机械化水平稳定在90%，特色农机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化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水平达80%</w:t>
      </w:r>
      <w:bookmarkEnd w:id="1"/>
      <w:bookmarkEnd w:id="2"/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四新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技术（新品种、新技术、新模式、新装备）推广覆盖率达95%。</w:t>
      </w:r>
    </w:p>
    <w:p w14:paraId="1CAE9452">
      <w:pPr>
        <w:snapToGrid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黑体_GBK"/>
          <w:sz w:val="32"/>
          <w:szCs w:val="32"/>
        </w:rPr>
        <w:t>——</w:t>
      </w:r>
      <w:r>
        <w:rPr>
          <w:rFonts w:ascii="Times New Roman" w:hAnsi="Times New Roman" w:eastAsia="方正楷体_GBK"/>
          <w:sz w:val="32"/>
          <w:szCs w:val="32"/>
        </w:rPr>
        <w:t>加强农业科技人才引进培育。</w:t>
      </w:r>
      <w:r>
        <w:rPr>
          <w:rFonts w:ascii="Times New Roman" w:hAnsi="Times New Roman" w:eastAsia="方正仿宋_GBK"/>
          <w:sz w:val="32"/>
          <w:szCs w:val="32"/>
        </w:rPr>
        <w:t>实施盐都籍在外人才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凤还巢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、高层次人才创新创业等行动，柔性引进一批农业创新人才、创新团队，培育一批农业技术创新人才。</w:t>
      </w:r>
      <w:r>
        <w:rPr>
          <w:rFonts w:hint="eastAsia" w:ascii="Times New Roman" w:hAnsi="Times New Roman" w:eastAsia="方正仿宋_GBK"/>
          <w:sz w:val="32"/>
          <w:szCs w:val="32"/>
        </w:rPr>
        <w:t>实施“</w:t>
      </w:r>
      <w:r>
        <w:rPr>
          <w:rFonts w:ascii="Times New Roman" w:hAnsi="Times New Roman" w:eastAsia="方正仿宋_GBK"/>
          <w:sz w:val="32"/>
          <w:szCs w:val="32"/>
        </w:rPr>
        <w:t>新农人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三年行动计划，</w:t>
      </w:r>
      <w:r>
        <w:rPr>
          <w:rFonts w:hint="eastAsia" w:ascii="Times New Roman" w:hAnsi="Times New Roman" w:eastAsia="方正仿宋_GBK"/>
          <w:sz w:val="32"/>
          <w:szCs w:val="32"/>
        </w:rPr>
        <w:t>加快</w:t>
      </w:r>
      <w:r>
        <w:rPr>
          <w:rFonts w:ascii="Times New Roman" w:hAnsi="Times New Roman" w:eastAsia="方正仿宋_GBK"/>
          <w:sz w:val="32"/>
          <w:szCs w:val="32"/>
        </w:rPr>
        <w:t>培育一批农业生产服务高技能人才。到2028年，</w:t>
      </w:r>
      <w:r>
        <w:rPr>
          <w:rFonts w:hint="eastAsia" w:ascii="Times New Roman" w:hAnsi="Times New Roman" w:eastAsia="方正仿宋_GBK"/>
          <w:sz w:val="32"/>
          <w:szCs w:val="32"/>
        </w:rPr>
        <w:t>全区</w:t>
      </w:r>
      <w:r>
        <w:rPr>
          <w:rFonts w:ascii="Times New Roman" w:hAnsi="Times New Roman" w:eastAsia="方正仿宋_GBK"/>
          <w:sz w:val="32"/>
          <w:szCs w:val="32"/>
        </w:rPr>
        <w:t>培育基层农技人员200名以上、乡村振兴带头人</w:t>
      </w:r>
      <w:r>
        <w:rPr>
          <w:rFonts w:hint="eastAsia" w:ascii="Times New Roman" w:hAnsi="Times New Roman" w:eastAsia="方正仿宋_GBK"/>
          <w:sz w:val="32"/>
          <w:szCs w:val="32"/>
        </w:rPr>
        <w:t>“</w:t>
      </w:r>
      <w:r>
        <w:rPr>
          <w:rFonts w:ascii="Times New Roman" w:hAnsi="Times New Roman" w:eastAsia="方正仿宋_GBK"/>
          <w:sz w:val="32"/>
          <w:szCs w:val="32"/>
        </w:rPr>
        <w:t>头雁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15名以上。</w:t>
      </w:r>
    </w:p>
    <w:p w14:paraId="3474CA81">
      <w:pPr>
        <w:snapToGrid w:val="0"/>
        <w:spacing w:line="560" w:lineRule="exact"/>
        <w:ind w:firstLine="680" w:firstLineChars="200"/>
        <w:rPr>
          <w:rFonts w:ascii="Times New Roman" w:hAnsi="Times New Roman" w:eastAsia="方正黑体_GBK"/>
          <w:sz w:val="34"/>
          <w:szCs w:val="34"/>
        </w:rPr>
      </w:pPr>
      <w:r>
        <w:rPr>
          <w:rFonts w:ascii="Times New Roman" w:hAnsi="Times New Roman" w:eastAsia="方正黑体_GBK"/>
          <w:sz w:val="34"/>
          <w:szCs w:val="34"/>
        </w:rPr>
        <w:t>二、重点任务</w:t>
      </w:r>
    </w:p>
    <w:p w14:paraId="68189332">
      <w:pPr>
        <w:spacing w:line="560" w:lineRule="exact"/>
        <w:ind w:firstLine="643" w:firstLineChars="200"/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（一）开展农业科创载体</w:t>
      </w:r>
      <w:r>
        <w:rPr>
          <w:rFonts w:hint="eastAsia"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建设</w:t>
      </w: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行动</w:t>
      </w:r>
    </w:p>
    <w:p w14:paraId="4CCDE791">
      <w:pPr>
        <w:spacing w:line="560" w:lineRule="exact"/>
        <w:ind w:firstLine="643" w:firstLineChars="200"/>
        <w:rPr>
          <w:rFonts w:ascii="Times New Roman" w:hAnsi="Times New Roman" w:eastAsia="方正仿宋_GBK"/>
          <w:snapToGrid w:val="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1.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创建国家现代农业</w:t>
      </w: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产业园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/>
          <w:sz w:val="32"/>
          <w:szCs w:val="32"/>
        </w:rPr>
        <w:t>围绕</w:t>
      </w:r>
      <w:r>
        <w:rPr>
          <w:rFonts w:ascii="Times New Roman" w:hAnsi="Times New Roman" w:eastAsia="方正仿宋_GBK"/>
          <w:sz w:val="32"/>
          <w:szCs w:val="32"/>
        </w:rPr>
        <w:t>国家现代农业产业园创建，依托台创园、大冈两个省级农业科技园区，</w:t>
      </w:r>
      <w:r>
        <w:rPr>
          <w:rFonts w:ascii="Times New Roman" w:hAnsi="Times New Roman" w:eastAsia="方正仿宋_GBK"/>
          <w:color w:val="auto"/>
          <w:sz w:val="32"/>
          <w:szCs w:val="32"/>
        </w:rPr>
        <w:t>联合郭猛、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龙</w:t>
      </w:r>
      <w:r>
        <w:rPr>
          <w:rFonts w:ascii="Times New Roman" w:hAnsi="Times New Roman" w:eastAsia="方正仿宋_GBK"/>
          <w:color w:val="auto"/>
          <w:sz w:val="32"/>
          <w:szCs w:val="32"/>
        </w:rPr>
        <w:t>冈等市级农业园区，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以水稻、大闸蟹为主导产业，以做强“现代种源”优势、补齐加工物流短板、做足生态循环文章、促进农民增收为中心任务，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发展壮大</w:t>
      </w:r>
      <w:r>
        <w:rPr>
          <w:rFonts w:ascii="Times New Roman" w:hAnsi="Times New Roman" w:eastAsia="方正仿宋_GBK"/>
          <w:color w:val="auto"/>
          <w:sz w:val="32"/>
          <w:szCs w:val="32"/>
        </w:rPr>
        <w:t>精深加工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，深化</w:t>
      </w:r>
      <w:r>
        <w:rPr>
          <w:rFonts w:ascii="Times New Roman" w:hAnsi="Times New Roman" w:eastAsia="方正仿宋_GBK"/>
          <w:color w:val="auto"/>
          <w:sz w:val="32"/>
          <w:szCs w:val="32"/>
        </w:rPr>
        <w:t>与科研</w:t>
      </w:r>
      <w:r>
        <w:rPr>
          <w:rFonts w:ascii="Times New Roman" w:hAnsi="Times New Roman" w:eastAsia="方正仿宋_GBK"/>
          <w:sz w:val="32"/>
          <w:szCs w:val="32"/>
        </w:rPr>
        <w:t>院所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合作，谋划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建设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一批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产业发展研究中心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、农业科学实验站和农技数据服务中心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等载体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，力争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3年内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获批国家现代农业产业园。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区农业农村局、区科技局、国控集团等，各镇（区、街道）；以下内容均需各镇（区、街道）落实，不再列出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4C3B3C8D">
      <w:pPr>
        <w:snapToGrid w:val="0"/>
        <w:spacing w:line="560" w:lineRule="exact"/>
        <w:ind w:firstLine="643" w:firstLineChars="200"/>
        <w:rPr>
          <w:rFonts w:ascii="Times New Roman" w:hAnsi="Times New Roman" w:eastAsia="方正仿宋_GBK"/>
          <w:snapToGrid w:val="0"/>
          <w:color w:val="FF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snapToGrid w:val="0"/>
          <w:kern w:val="0"/>
          <w:sz w:val="32"/>
          <w:szCs w:val="32"/>
        </w:rPr>
        <w:t>2.发展涉农</w:t>
      </w:r>
      <w:r>
        <w:rPr>
          <w:rFonts w:ascii="Times New Roman" w:hAnsi="Times New Roman" w:eastAsia="方正仿宋_GBK"/>
          <w:b/>
          <w:snapToGrid w:val="0"/>
          <w:kern w:val="0"/>
          <w:sz w:val="32"/>
          <w:szCs w:val="32"/>
        </w:rPr>
        <w:t>研发</w:t>
      </w:r>
      <w:r>
        <w:rPr>
          <w:rFonts w:hint="eastAsia" w:ascii="Times New Roman" w:hAnsi="Times New Roman" w:eastAsia="方正仿宋_GBK"/>
          <w:b/>
          <w:snapToGrid w:val="0"/>
          <w:kern w:val="0"/>
          <w:sz w:val="32"/>
          <w:szCs w:val="32"/>
        </w:rPr>
        <w:t>平台和</w:t>
      </w:r>
      <w:r>
        <w:rPr>
          <w:rFonts w:ascii="Times New Roman" w:hAnsi="Times New Roman" w:eastAsia="方正仿宋_GBK"/>
          <w:b/>
          <w:snapToGrid w:val="0"/>
          <w:kern w:val="0"/>
          <w:sz w:val="32"/>
          <w:szCs w:val="32"/>
        </w:rPr>
        <w:t>机构。</w:t>
      </w:r>
      <w:r>
        <w:rPr>
          <w:rFonts w:ascii="Times New Roman" w:hAnsi="Times New Roman" w:eastAsia="方正仿宋_GBK"/>
          <w:sz w:val="32"/>
          <w:szCs w:val="32"/>
        </w:rPr>
        <w:t>深化与涉农高校院所交流合作，支持发起设立涉农新型研发机构和研发中心。</w:t>
      </w:r>
      <w:r>
        <w:rPr>
          <w:rFonts w:hint="eastAsia" w:ascii="Times New Roman" w:hAnsi="Times New Roman" w:eastAsia="方正仿宋_GBK"/>
          <w:sz w:val="32"/>
          <w:szCs w:val="32"/>
        </w:rPr>
        <w:t>加强与南京农业大学合作共建现代农业创新研发中心；</w:t>
      </w:r>
      <w:r>
        <w:rPr>
          <w:rFonts w:ascii="Times New Roman" w:hAnsi="Times New Roman" w:eastAsia="方正仿宋_GBK"/>
          <w:sz w:val="32"/>
          <w:szCs w:val="32"/>
        </w:rPr>
        <w:t>与盐城工学院、上海海洋大学</w:t>
      </w:r>
      <w:r>
        <w:rPr>
          <w:rFonts w:hint="eastAsia" w:ascii="Times New Roman" w:hAnsi="Times New Roman" w:eastAsia="方正仿宋_GBK"/>
          <w:sz w:val="32"/>
          <w:szCs w:val="32"/>
        </w:rPr>
        <w:t>等院所</w:t>
      </w:r>
      <w:r>
        <w:rPr>
          <w:rFonts w:ascii="Times New Roman" w:hAnsi="Times New Roman" w:eastAsia="方正仿宋_GBK"/>
          <w:sz w:val="32"/>
          <w:szCs w:val="32"/>
        </w:rPr>
        <w:t>合作共建</w:t>
      </w:r>
      <w:r>
        <w:rPr>
          <w:rFonts w:hint="eastAsia" w:ascii="Times New Roman" w:hAnsi="Times New Roman" w:eastAsia="方正仿宋_GBK"/>
          <w:sz w:val="32"/>
          <w:szCs w:val="32"/>
        </w:rPr>
        <w:t>全</w:t>
      </w:r>
      <w:r>
        <w:rPr>
          <w:rFonts w:ascii="Times New Roman" w:hAnsi="Times New Roman" w:eastAsia="方正仿宋_GBK"/>
          <w:sz w:val="32"/>
          <w:szCs w:val="32"/>
        </w:rPr>
        <w:t>市虾蟹重点实验室。</w:t>
      </w:r>
      <w:r>
        <w:rPr>
          <w:rFonts w:hint="eastAsia" w:ascii="Times New Roman" w:hAnsi="Times New Roman" w:eastAsia="方正仿宋_GBK"/>
          <w:sz w:val="32"/>
          <w:szCs w:val="32"/>
        </w:rPr>
        <w:t>瞄准</w:t>
      </w:r>
      <w:r>
        <w:rPr>
          <w:rFonts w:ascii="Times New Roman" w:hAnsi="Times New Roman" w:eastAsia="方正仿宋_GBK"/>
          <w:sz w:val="32"/>
          <w:szCs w:val="32"/>
        </w:rPr>
        <w:t>产业链共性关键核心技术需求，谋划布局农产品加工技术创新中心、研发中心和重点实验室。鼓励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现有农业科技</w:t>
      </w:r>
      <w:r>
        <w:rPr>
          <w:rFonts w:ascii="Times New Roman" w:hAnsi="Times New Roman" w:eastAsia="方正仿宋_GBK"/>
          <w:sz w:val="32"/>
          <w:szCs w:val="32"/>
        </w:rPr>
        <w:t>企业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按照</w:t>
      </w:r>
      <w:r>
        <w:rPr>
          <w:rFonts w:hint="eastAsia" w:ascii="Times New Roman" w:hAnsi="Times New Roman" w:eastAsia="方正仿宋_GBK"/>
          <w:sz w:val="32"/>
          <w:szCs w:val="32"/>
        </w:rPr>
        <w:t>“六</w:t>
      </w:r>
      <w:r>
        <w:rPr>
          <w:rFonts w:ascii="Times New Roman" w:hAnsi="Times New Roman" w:eastAsia="方正仿宋_GBK"/>
          <w:sz w:val="32"/>
          <w:szCs w:val="32"/>
        </w:rPr>
        <w:t>有</w:t>
      </w:r>
      <w:r>
        <w:rPr>
          <w:rFonts w:hint="eastAsia" w:ascii="Times New Roman" w:hAnsi="Times New Roman" w:eastAsia="方正仿宋_GBK"/>
          <w:sz w:val="32"/>
          <w:szCs w:val="32"/>
        </w:rPr>
        <w:t>”</w:t>
      </w:r>
      <w:r>
        <w:rPr>
          <w:rFonts w:ascii="Times New Roman" w:hAnsi="Times New Roman" w:eastAsia="方正仿宋_GBK"/>
          <w:sz w:val="32"/>
          <w:szCs w:val="32"/>
        </w:rPr>
        <w:t>（有项目</w:t>
      </w:r>
      <w:r>
        <w:rPr>
          <w:rFonts w:hint="eastAsia" w:ascii="Times New Roman" w:hAnsi="Times New Roman" w:eastAsia="方正仿宋_GBK"/>
          <w:sz w:val="32"/>
          <w:szCs w:val="32"/>
        </w:rPr>
        <w:t>、</w:t>
      </w:r>
      <w:r>
        <w:rPr>
          <w:rFonts w:ascii="Times New Roman" w:hAnsi="Times New Roman" w:eastAsia="方正仿宋_GBK"/>
          <w:sz w:val="32"/>
          <w:szCs w:val="32"/>
        </w:rPr>
        <w:t>有人员、有场所、有经费、</w:t>
      </w:r>
      <w:r>
        <w:rPr>
          <w:rFonts w:hint="eastAsia" w:ascii="Times New Roman" w:hAnsi="Times New Roman" w:eastAsia="方正仿宋_GBK"/>
          <w:sz w:val="32"/>
          <w:szCs w:val="32"/>
        </w:rPr>
        <w:t>有科目</w:t>
      </w:r>
      <w:r>
        <w:rPr>
          <w:rFonts w:ascii="Times New Roman" w:hAnsi="Times New Roman" w:eastAsia="方正仿宋_GBK"/>
          <w:sz w:val="32"/>
          <w:szCs w:val="32"/>
        </w:rPr>
        <w:t>、</w:t>
      </w:r>
      <w:r>
        <w:rPr>
          <w:rFonts w:hint="eastAsia" w:ascii="Times New Roman" w:hAnsi="Times New Roman" w:eastAsia="方正仿宋_GBK"/>
          <w:sz w:val="32"/>
          <w:szCs w:val="32"/>
        </w:rPr>
        <w:t>有成果</w:t>
      </w:r>
      <w:r>
        <w:rPr>
          <w:rFonts w:ascii="Times New Roman" w:hAnsi="Times New Roman" w:eastAsia="方正仿宋_GBK"/>
          <w:sz w:val="32"/>
          <w:szCs w:val="32"/>
        </w:rPr>
        <w:t>）标准建立研发机构，到2028年，打造企业联合创新中心1-2家。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责任单位：区科技局、区农业农村局、国控集团等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6B7CB4E2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3.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引育农业科技型企业。</w:t>
      </w:r>
      <w:r>
        <w:rPr>
          <w:rFonts w:hint="eastAsia" w:ascii="Times New Roman" w:hAnsi="Times New Roman" w:eastAsia="方正仿宋_GBK"/>
          <w:sz w:val="32"/>
          <w:szCs w:val="32"/>
        </w:rPr>
        <w:t>瞄准</w:t>
      </w:r>
      <w:r>
        <w:rPr>
          <w:rFonts w:ascii="Times New Roman" w:hAnsi="Times New Roman" w:eastAsia="方正仿宋_GBK"/>
          <w:sz w:val="32"/>
          <w:szCs w:val="32"/>
        </w:rPr>
        <w:t>初创型农业科技</w:t>
      </w:r>
      <w:r>
        <w:rPr>
          <w:rFonts w:hint="eastAsia" w:ascii="Times New Roman" w:hAnsi="Times New Roman" w:eastAsia="方正仿宋_GBK"/>
          <w:sz w:val="32"/>
          <w:szCs w:val="32"/>
        </w:rPr>
        <w:t>领域</w:t>
      </w:r>
      <w:r>
        <w:rPr>
          <w:rFonts w:ascii="Times New Roman" w:hAnsi="Times New Roman" w:eastAsia="方正仿宋_GBK"/>
          <w:sz w:val="32"/>
          <w:szCs w:val="32"/>
        </w:rPr>
        <w:t>，加强与先进地区孵化器、加速器合作，招引有科技含量、有高层次人才、有成长潜力的项目</w:t>
      </w:r>
      <w:r>
        <w:rPr>
          <w:rFonts w:hint="eastAsia" w:ascii="Times New Roman" w:hAnsi="Times New Roman" w:eastAsia="方正仿宋_GBK"/>
          <w:sz w:val="32"/>
          <w:szCs w:val="32"/>
        </w:rPr>
        <w:t>。</w:t>
      </w:r>
      <w:r>
        <w:rPr>
          <w:rFonts w:ascii="Times New Roman" w:hAnsi="Times New Roman" w:eastAsia="方正仿宋_GBK"/>
          <w:sz w:val="32"/>
          <w:szCs w:val="32"/>
        </w:rPr>
        <w:t>引</w:t>
      </w:r>
      <w:r>
        <w:rPr>
          <w:rFonts w:hint="eastAsia" w:ascii="Times New Roman" w:hAnsi="Times New Roman" w:eastAsia="方正仿宋_GBK"/>
          <w:sz w:val="32"/>
          <w:szCs w:val="32"/>
        </w:rPr>
        <w:t>进</w:t>
      </w:r>
      <w:r>
        <w:rPr>
          <w:rFonts w:ascii="Times New Roman" w:hAnsi="Times New Roman" w:eastAsia="方正仿宋_GBK"/>
          <w:sz w:val="32"/>
          <w:szCs w:val="32"/>
        </w:rPr>
        <w:t>优质运营团队</w:t>
      </w:r>
      <w:r>
        <w:rPr>
          <w:rFonts w:hint="eastAsia" w:ascii="Times New Roman" w:hAnsi="Times New Roman" w:eastAsia="方正仿宋_GBK"/>
          <w:sz w:val="32"/>
          <w:szCs w:val="32"/>
        </w:rPr>
        <w:t>，打造</w:t>
      </w:r>
      <w:r>
        <w:rPr>
          <w:rFonts w:ascii="Times New Roman" w:hAnsi="Times New Roman" w:eastAsia="方正仿宋_GBK"/>
          <w:sz w:val="32"/>
          <w:szCs w:val="32"/>
        </w:rPr>
        <w:t>一批农业科技园区、科技服务超市、星创天地等科创载体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提升</w:t>
      </w:r>
      <w:r>
        <w:rPr>
          <w:rFonts w:hint="eastAsia" w:ascii="Times New Roman" w:hAnsi="Times New Roman" w:eastAsia="方正仿宋_GBK"/>
          <w:sz w:val="32"/>
          <w:szCs w:val="32"/>
        </w:rPr>
        <w:t>现有</w:t>
      </w:r>
      <w:r>
        <w:rPr>
          <w:rFonts w:ascii="Times New Roman" w:hAnsi="Times New Roman" w:eastAsia="方正仿宋_GBK"/>
          <w:sz w:val="32"/>
          <w:szCs w:val="32"/>
        </w:rPr>
        <w:t>星创天地、科技超市</w:t>
      </w:r>
      <w:r>
        <w:rPr>
          <w:rFonts w:hint="eastAsia" w:ascii="Times New Roman" w:hAnsi="Times New Roman" w:eastAsia="方正仿宋_GBK"/>
          <w:sz w:val="32"/>
          <w:szCs w:val="32"/>
        </w:rPr>
        <w:t>服务功能，</w:t>
      </w:r>
      <w:r>
        <w:rPr>
          <w:rFonts w:ascii="Times New Roman" w:hAnsi="Times New Roman" w:eastAsia="方正仿宋_GBK"/>
          <w:sz w:val="32"/>
          <w:szCs w:val="32"/>
        </w:rPr>
        <w:t>持续推进农业科技企业培育，落实企业研发费用加计扣除优惠政策。建立农业科技型企业培育库，分层分类培育一批涉农领域科技型中小企业</w:t>
      </w:r>
      <w:r>
        <w:rPr>
          <w:rFonts w:hint="eastAsia" w:ascii="Times New Roman" w:hAnsi="Times New Roman" w:eastAsia="方正仿宋_GBK"/>
          <w:sz w:val="32"/>
          <w:szCs w:val="32"/>
        </w:rPr>
        <w:t>和</w:t>
      </w:r>
      <w:r>
        <w:rPr>
          <w:rFonts w:ascii="Times New Roman" w:hAnsi="Times New Roman" w:eastAsia="方正仿宋_GBK"/>
          <w:sz w:val="32"/>
          <w:szCs w:val="32"/>
        </w:rPr>
        <w:t>高新技术企业。</w:t>
      </w:r>
      <w:r>
        <w:rPr>
          <w:rFonts w:hint="eastAsia" w:ascii="Times New Roman" w:hAnsi="Times New Roman" w:eastAsia="方正仿宋_GBK"/>
          <w:sz w:val="32"/>
          <w:szCs w:val="32"/>
        </w:rPr>
        <w:t>每年组织</w:t>
      </w:r>
      <w:r>
        <w:rPr>
          <w:rFonts w:ascii="Times New Roman" w:hAnsi="Times New Roman" w:eastAsia="方正仿宋_GBK"/>
          <w:sz w:val="32"/>
          <w:szCs w:val="32"/>
        </w:rPr>
        <w:t>农业科技企业申报省市级科技项目3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项</w:t>
      </w:r>
      <w:r>
        <w:rPr>
          <w:rFonts w:ascii="Times New Roman" w:hAnsi="Times New Roman" w:eastAsia="方正仿宋_GBK"/>
          <w:sz w:val="32"/>
          <w:szCs w:val="32"/>
        </w:rPr>
        <w:t>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区科技局、区农业农村局、区财政局、区税务局等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2504B0A7">
      <w:pPr>
        <w:spacing w:line="560" w:lineRule="exact"/>
        <w:ind w:firstLine="643" w:firstLineChars="200"/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二</w:t>
      </w: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）开展农业</w:t>
      </w:r>
      <w:r>
        <w:rPr>
          <w:rFonts w:hint="eastAsia"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装备水平</w:t>
      </w: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提升行动</w:t>
      </w:r>
    </w:p>
    <w:p w14:paraId="76E333F1">
      <w:pPr>
        <w:spacing w:line="590" w:lineRule="exact"/>
        <w:ind w:firstLine="643" w:firstLineChars="200"/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4.加快高标准农田建设。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围绕达成“一平两通三提升”【田块平整，通水通路，提升地力、产量、效益】的目标，全力建设旱涝保收、抗灾减灾、产能提升的高标准农田；强化项目建设全过程精细化管理，结合盐都实际，制定可行的高标准农田管护实施细则，确保农田地力显著增强、粮食产量稳步提高、综合效益大幅增长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区农业农村局、区自规局等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77D51D21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5.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提升农</w:t>
      </w: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机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装备</w:t>
      </w: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应用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水平。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加快小型耗能等农机具报废更新，发展智能农机装备，聚焦设施农业、畜牧养殖、农产品初加工等领域，推广适用性强、轻简化等专用农机，补齐特色农机装备短板。抓好智能监测站点设备提档升级，着力提升重大灾情分析预警能力和水平。服务苏启智能等企业开展农业无人机研发，拓展市场。围绕清洁热源烘干、新能源农机领域，鼓励本土农机企业与科研院所联合攻关农业生产关键环节装备技术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区科技局、区农业农村局等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7CEB4F05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6.大力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发展数字智慧农业。</w:t>
      </w:r>
      <w:r>
        <w:rPr>
          <w:rFonts w:hint="eastAsia" w:ascii="Times New Roman" w:hAnsi="Times New Roman" w:eastAsia="方正仿宋_GBK"/>
          <w:snapToGrid w:val="0"/>
          <w:color w:val="auto"/>
          <w:kern w:val="0"/>
          <w:sz w:val="32"/>
          <w:szCs w:val="32"/>
        </w:rPr>
        <w:t>发挥全区</w:t>
      </w:r>
      <w:r>
        <w:rPr>
          <w:rFonts w:hint="eastAsia" w:ascii="Times New Roman" w:hAnsi="Times New Roman" w:eastAsia="方正仿宋_GBK"/>
          <w:snapToGrid w:val="0"/>
          <w:color w:val="auto"/>
          <w:kern w:val="0"/>
          <w:sz w:val="32"/>
          <w:szCs w:val="32"/>
          <w:lang w:val="en-US" w:eastAsia="zh-CN"/>
        </w:rPr>
        <w:t>智慧农业服务</w:t>
      </w:r>
      <w:r>
        <w:rPr>
          <w:rFonts w:hint="eastAsia" w:ascii="Times New Roman" w:hAnsi="Times New Roman" w:eastAsia="方正仿宋_GBK"/>
          <w:snapToGrid w:val="0"/>
          <w:color w:val="auto"/>
          <w:kern w:val="0"/>
          <w:sz w:val="32"/>
          <w:szCs w:val="32"/>
        </w:rPr>
        <w:t>平台优势，设计开发新的农业生产功能模块，运用数字技术指导全区农业生产实践。</w:t>
      </w:r>
      <w:r>
        <w:rPr>
          <w:rFonts w:ascii="Times New Roman" w:hAnsi="Times New Roman" w:eastAsia="方正仿宋_GBK"/>
          <w:snapToGrid w:val="0"/>
          <w:color w:val="auto"/>
          <w:kern w:val="0"/>
          <w:sz w:val="32"/>
          <w:szCs w:val="32"/>
        </w:rPr>
        <w:t>加快现代农业</w:t>
      </w:r>
      <w:r>
        <w:rPr>
          <w:rFonts w:hint="eastAsia" w:ascii="Times New Roman" w:hAnsi="Times New Roman" w:eastAsia="方正仿宋_GBK"/>
          <w:snapToGrid w:val="0"/>
          <w:color w:val="auto"/>
          <w:kern w:val="0"/>
          <w:sz w:val="32"/>
          <w:szCs w:val="32"/>
        </w:rPr>
        <w:t>“</w:t>
      </w:r>
      <w:r>
        <w:rPr>
          <w:rFonts w:ascii="Times New Roman" w:hAnsi="Times New Roman" w:eastAsia="方正仿宋_GBK"/>
          <w:snapToGrid w:val="0"/>
          <w:color w:val="auto"/>
          <w:kern w:val="0"/>
          <w:sz w:val="32"/>
          <w:szCs w:val="32"/>
        </w:rPr>
        <w:t>智改数转网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联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打造一批智慧农场（牧场、渔场）。支持现有场景优化提升，深化物联网、人工智能等技术集成，形成可复制、可推广的发展模式。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推动华东农产品交易中心热力算法销售系统建设，提升农产品市场销售预测服务能力。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区农业农村局、区数据局、区科技局等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45F96AC1">
      <w:pPr>
        <w:spacing w:line="560" w:lineRule="exact"/>
        <w:ind w:firstLine="643" w:firstLineChars="200"/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三</w:t>
      </w:r>
      <w:r>
        <w:rPr>
          <w:rFonts w:ascii="Times New Roman" w:hAnsi="Times New Roman" w:eastAsia="方正楷体_GBK"/>
          <w:b/>
          <w:snapToGrid w:val="0"/>
          <w:color w:val="000000"/>
          <w:kern w:val="0"/>
          <w:sz w:val="32"/>
          <w:szCs w:val="32"/>
        </w:rPr>
        <w:t>）开展农业科技推广服务行动</w:t>
      </w:r>
    </w:p>
    <w:p w14:paraId="23687DEB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7.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加快种业振兴步伐。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围绕种业产业梳理关键核心技术攻关项目清单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发挥区农科所种业研发中心（龙冈）、七星农场良种繁育中心、张洪程院士工作站等种业基地优势，采用“揭榜挂帅”等方式，形成一批技术含量高、市场前景广、产业带动强的科技成果。研发培育成功盐莓2号，打造千亩连片标准化扣蟹培育基地，每年研发“盐粳”“盐麦”等新品种2个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区科技局、区农业农村局等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5F82CD1A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8.完善农业社会化服务体系</w:t>
      </w:r>
      <w:r>
        <w:rPr>
          <w:rFonts w:ascii="Times New Roman" w:hAnsi="Times New Roman" w:eastAsia="方正仿宋_GBK"/>
          <w:b/>
          <w:snapToGrid w:val="0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完成2个区域性农技综合服务中心和14个农事综合服务中心的规划建设，打造N个服务驿站，实现全区农技农事服务全覆盖。加强苗情、病虫情、墒情、灾情“四情”监测，全面提升监测预警与精准调控能力。围绕农业科技综合展示，推动良田良种良法配套、农机农技农艺融合，每年开展科技示范与推广实验20项以上，打造科技示范展示场所4个。加强与涉农高校院所对接，建设省科技小院2-3所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区农业农村局、区供销社、区科协等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3DD73909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9.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创新科技成果转化</w:t>
      </w: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方式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。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构建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“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科研+企业+农场+种植大户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”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联动机制，推动良种培育、订单生产、精深加工等深度融合，实现种业产业育繁推一体化发展、全链条提升，有效提高“盐粳”“盐麦”“农麦”“盐糯”等种业品牌知名度、市场占有率。引导农科所和国控集团深度合作、双向赋能，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合作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共赢。推动农业科技企业深化与先进技术成果长三角转化中心盐城分中心、国家技术转移东部中心盐城分中心等平台合作，每年签订产学研合作协议10项以上，加快科技成果转化。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区科技局、区农业农村局、国控集团等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40C25EE3">
      <w:pPr>
        <w:spacing w:line="560" w:lineRule="exact"/>
        <w:ind w:firstLine="643" w:firstLineChars="200"/>
        <w:rPr>
          <w:rFonts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  <w:t>四</w:t>
      </w:r>
      <w:r>
        <w:rPr>
          <w:rFonts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  <w:t>）开展农业</w:t>
      </w:r>
      <w:r>
        <w:rPr>
          <w:rFonts w:hint="eastAsia"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  <w:t>全产业链科技赋能</w:t>
      </w:r>
      <w:r>
        <w:rPr>
          <w:rFonts w:ascii="Times New Roman" w:hAnsi="Times New Roman" w:eastAsia="方正楷体_GBK"/>
          <w:b/>
          <w:bCs/>
          <w:snapToGrid w:val="0"/>
          <w:color w:val="000000"/>
          <w:kern w:val="0"/>
          <w:sz w:val="32"/>
          <w:szCs w:val="32"/>
        </w:rPr>
        <w:t>行动</w:t>
      </w:r>
    </w:p>
    <w:p w14:paraId="53685221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10.</w:t>
      </w:r>
      <w:r>
        <w:rPr>
          <w:rFonts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发展壮大农业电子商务。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依托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“</w:t>
      </w:r>
      <w:r>
        <w:rPr>
          <w:rFonts w:hint="eastAsia" w:ascii="Times New Roman" w:hAnsi="Times New Roman" w:eastAsia="方正仿宋_GBK"/>
          <w:sz w:val="32"/>
          <w:szCs w:val="32"/>
        </w:rPr>
        <w:t>鲜之都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·</w:t>
      </w:r>
      <w:r>
        <w:rPr>
          <w:rFonts w:hint="eastAsia" w:ascii="Times New Roman" w:hAnsi="Times New Roman" w:eastAsia="方正仿宋_GBK"/>
          <w:sz w:val="32"/>
          <w:szCs w:val="32"/>
        </w:rPr>
        <w:t>盐都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农产品区域公用品牌，培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强“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东部优品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”“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秦泾甄选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”“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微米生活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等电商品牌主体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打造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“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蟹王邵记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”“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嘟嘟草莓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等乡土气息浓、市场辨识度高的IP形象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，拓宽农产品销售渠道。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放大第10届国际草莓大会引流效应，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推广</w:t>
      </w:r>
      <w:r>
        <w:rPr>
          <w:rFonts w:ascii="Times New Roman" w:hAnsi="Times New Roman" w:eastAsia="方正仿宋_GBK"/>
          <w:snapToGrid w:val="0"/>
          <w:kern w:val="0"/>
          <w:sz w:val="32"/>
          <w:szCs w:val="32"/>
        </w:rPr>
        <w:t>农产品电商直采、定制生产等新模式，发展创意农业、认养农业等新业态</w:t>
      </w:r>
      <w:r>
        <w:rPr>
          <w:rFonts w:hint="eastAsia" w:ascii="Times New Roman" w:hAnsi="Times New Roman" w:eastAsia="方正仿宋_GBK"/>
          <w:snapToGrid w:val="0"/>
          <w:kern w:val="0"/>
          <w:sz w:val="32"/>
          <w:szCs w:val="32"/>
        </w:rPr>
        <w:t>，激活消费市场潜力。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  <w:t>区商务局、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区发改委、区农业农</w:t>
      </w: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  <w:t>村局、区市场监督管理局、国控集团等</w:t>
      </w:r>
      <w:r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  <w:t>〕</w:t>
      </w:r>
    </w:p>
    <w:p w14:paraId="70038C0F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11.加快绿色生态农业建设。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加强耕地质量建设，完成占补平衡新增耕地1200亩以上，建设耕地质量提升示范区，推广耕地质量保护与提升技术。加强农业废弃物资源化利用，加快现代生态循环农业建设，推广高效节水、化肥控施、用药减量的关键技术和设施装备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瞄准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生态种养、养殖污染防治等方向开展技术攻关项目3个以上。完善农产品质量安全全链条监管，鼓励符合条件的企业积极申报绿色、有机品牌，争创全国绿色食品原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料标准化基地1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-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2个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，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全区绿色优质农产品占比稳定在8</w:t>
      </w:r>
      <w:r>
        <w:rPr>
          <w:rFonts w:hint="eastAsia" w:ascii="Times New Roman" w:hAnsi="Times New Roman" w:eastAsia="方正仿宋_GBK"/>
          <w:snapToGrid w:val="0"/>
          <w:color w:val="000000"/>
          <w:kern w:val="0"/>
          <w:sz w:val="32"/>
          <w:szCs w:val="32"/>
        </w:rPr>
        <w:t>0</w:t>
      </w:r>
      <w:r>
        <w:rPr>
          <w:rFonts w:ascii="Times New Roman" w:hAnsi="Times New Roman" w:eastAsia="方正仿宋_GBK"/>
          <w:snapToGrid w:val="0"/>
          <w:color w:val="000000"/>
          <w:kern w:val="0"/>
          <w:sz w:val="32"/>
          <w:szCs w:val="32"/>
        </w:rPr>
        <w:t>%以上。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区科技局、区农业农村局、区自规局、区发改委等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44F89C88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12.</w:t>
      </w:r>
      <w:r>
        <w:rPr>
          <w:rFonts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提升农产品精深加工水平。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依托未来食品产业园，立足“全链条”布局，加强科技创新，鼓励企业与江南大学等科研院所开展产学研合作，成立实验室，开展植物基食品、功能性食品、健康休闲食品研发。围绕补链延链，加强产业链配套项目招引，加快园区污水处理、集中供热、冷链物流等配套设施建设，提速打造大健康食品集群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val="en-US" w:eastAsia="zh-CN"/>
        </w:rPr>
        <w:t>每年新招引亿元以上项目4个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区农业农村局、区发改委、区科技局等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20B90F68">
      <w:pPr>
        <w:spacing w:line="560" w:lineRule="exact"/>
        <w:ind w:firstLine="643" w:firstLineChars="200"/>
        <w:rPr>
          <w:rFonts w:ascii="Times New Roman" w:hAnsi="Times New Roman" w:eastAsia="方正楷体_GBK"/>
          <w:b/>
          <w:bCs/>
          <w:snapToGrid w:val="0"/>
          <w:kern w:val="0"/>
          <w:sz w:val="32"/>
          <w:szCs w:val="32"/>
        </w:rPr>
      </w:pPr>
      <w:bookmarkStart w:id="3" w:name="OLE_LINK13"/>
      <w:bookmarkStart w:id="4" w:name="OLE_LINK14"/>
      <w:r>
        <w:rPr>
          <w:rFonts w:ascii="Times New Roman" w:hAnsi="Times New Roman" w:eastAsia="方正楷体_GBK"/>
          <w:b/>
          <w:bCs/>
          <w:snapToGrid w:val="0"/>
          <w:kern w:val="0"/>
          <w:sz w:val="32"/>
          <w:szCs w:val="32"/>
        </w:rPr>
        <w:t>（五）开展农业技术人才培优育强行动</w:t>
      </w:r>
    </w:p>
    <w:bookmarkEnd w:id="3"/>
    <w:bookmarkEnd w:id="4"/>
    <w:p w14:paraId="10F75DB2">
      <w:pPr>
        <w:spacing w:line="560" w:lineRule="exact"/>
        <w:ind w:firstLine="643" w:firstLineChars="200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13.发展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壮大</w:t>
      </w: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“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新农人</w:t>
      </w: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”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队伍。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鼓励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优秀新农人积极参与省乡土人才“三带”行动计划，创建省级乡土人才传承示范基地、大师示范工作室等。完善“新农人”动态人才数据库，联合市农业科技职业学院、区农干校等资源，适时开展“田间课堂”培训、技能比武大赛、创新创业大赛等演练活动，提升“新农人”实践技能、经营本领，每年新培育吸纳新农人联合会会员20名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区人社局、区农业农村局等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6565FE5F">
      <w:pPr>
        <w:spacing w:line="560" w:lineRule="exact"/>
        <w:ind w:firstLine="643" w:firstLineChars="200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14.建强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农业</w:t>
      </w: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科技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人才</w:t>
      </w:r>
      <w:r>
        <w:rPr>
          <w:rFonts w:hint="eastAsia" w:ascii="Times New Roman" w:hAnsi="Times New Roman" w:eastAsia="方正仿宋_GBK"/>
          <w:b/>
          <w:bCs/>
          <w:snapToGrid w:val="0"/>
          <w:kern w:val="0"/>
          <w:sz w:val="32"/>
          <w:szCs w:val="32"/>
        </w:rPr>
        <w:t>队伍</w:t>
      </w:r>
      <w:r>
        <w:rPr>
          <w:rFonts w:ascii="Times New Roman" w:hAnsi="Times New Roman" w:eastAsia="方正仿宋_GBK"/>
          <w:b/>
          <w:bCs/>
          <w:snapToGrid w:val="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深入实施“黄海明珠人才计划”，组织创新创业大赛，吸引、集聚发展前景好、技术含量高的农业项目，每年资助“百名菁英强村行动”兴农创业项目不少于3个。深入开展“盐都企业高校行”“高校教授盐都行”等活动，推动农业科技企业与高校院所进行人才合作，推广实施“周末工程师”“银发专家”等合作模式。强化科技特派员制度，依托科技特派员每年开展农业技术培训3场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区委组织部、区人社局、区科技局、区农业农村局等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0D216C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15.</w:t>
      </w:r>
      <w:r>
        <w:rPr>
          <w:rFonts w:ascii="Times New Roman" w:hAnsi="Times New Roman" w:eastAsia="方正仿宋_GBK"/>
          <w:b/>
          <w:bCs/>
          <w:snapToGrid w:val="0"/>
          <w:color w:val="000000"/>
          <w:kern w:val="0"/>
          <w:sz w:val="32"/>
          <w:szCs w:val="32"/>
        </w:rPr>
        <w:t>培育高素质农民。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对照现代农业发展技术需求，创新培训模式，丰富理论讲课、实操演练、现场观摩、技术指导、创业辅导等多种形式，将高素质农民培育与田间实践有机融合，每年新建或扶持农民田间学校2个，培训高素质农民800人次以上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区农业农村局、区科技局等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570F8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</w:pPr>
      <w:r>
        <w:rPr>
          <w:rFonts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  <w:t>（</w:t>
      </w:r>
      <w:r>
        <w:rPr>
          <w:rFonts w:hint="eastAsia"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  <w:t>六</w:t>
      </w:r>
      <w:r>
        <w:rPr>
          <w:rFonts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  <w:t>）开展农业</w:t>
      </w:r>
      <w:r>
        <w:rPr>
          <w:rFonts w:hint="eastAsia"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  <w:t>科技创新</w:t>
      </w:r>
      <w:r>
        <w:rPr>
          <w:rFonts w:hint="eastAsia" w:ascii="Times New Roman" w:hAnsi="Times New Roman" w:eastAsia="方正楷体_GBK" w:cs="Times New Roman"/>
          <w:b/>
          <w:bCs/>
          <w:snapToGrid w:val="0"/>
          <w:kern w:val="0"/>
          <w:sz w:val="32"/>
          <w:szCs w:val="32"/>
          <w:lang w:eastAsia="zh-CN"/>
        </w:rPr>
        <w:t>保障护航</w:t>
      </w:r>
      <w:r>
        <w:rPr>
          <w:rFonts w:ascii="Times New Roman" w:hAnsi="Times New Roman" w:eastAsia="方正楷体_GBK" w:cs="Times New Roman"/>
          <w:b/>
          <w:bCs/>
          <w:snapToGrid w:val="0"/>
          <w:kern w:val="0"/>
          <w:sz w:val="32"/>
          <w:szCs w:val="32"/>
        </w:rPr>
        <w:t>行动</w:t>
      </w:r>
    </w:p>
    <w:p w14:paraId="03FF01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3" w:firstLineChars="200"/>
        <w:jc w:val="both"/>
        <w:textAlignment w:val="auto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</w:rPr>
        <w:t>16、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  <w:lang w:eastAsia="zh-CN"/>
        </w:rPr>
        <w:t>增强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</w:rPr>
        <w:t>农业科技金融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  <w:lang w:eastAsia="zh-CN"/>
        </w:rPr>
        <w:t>产品供给</w:t>
      </w: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加强金融财政保障，重点支持有研发投入的农业科技企业，支持政府性融资担保机构聚焦农业科技领域为中小企业融资增信。每年提供担保资金20亿元，为科技型中小企业提供金融保障。引导金融机构聚焦农业优势主导产业，创设“一业一策”农业科技金融产品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区财政局、政府办金融条线、江苏农担盐都分公司等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27578F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</w:rPr>
        <w:t>17、健全农业科技成果激励机制。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深化科研人员职务科技成果所有权或长期使用权改革，宣传解读科技成果转化机制政策，树立鲜明的“重品德、重能力、重业绩”评价导向，激发科研人员创新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研发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积极性。总结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  <w:lang w:eastAsia="zh-CN"/>
        </w:rPr>
        <w:t>发布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农业领域重大成果，力争申报省科学技术奖提名1个以上。支持农业领域项目参与各类创新创业大赛，加速培育孵化具有良好应用场景的项目和团队。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区科技局、区人社局、区科协等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78A21B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3" w:firstLineChars="200"/>
        <w:textAlignment w:val="auto"/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napToGrid w:val="0"/>
          <w:color w:val="000000"/>
          <w:kern w:val="0"/>
          <w:sz w:val="32"/>
          <w:szCs w:val="32"/>
        </w:rPr>
        <w:t>18、提升创新保护和服务能力。</w:t>
      </w: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加强生物信息、试验数据等关键创新资源的保护，利用知识产权宣传周，强化涉农知识产权全链条宣传推广和知识产权保护。积极挖掘涉农知识产权质押融资需求，加大涉农专利转让许可服务力度。加强国家植物新品种权保护，争创省级种质资源中期保护库。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〔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/>
        </w:rPr>
        <w:t>责任单位：</w:t>
      </w:r>
      <w:r>
        <w:rPr>
          <w:rFonts w:hint="eastAsia" w:ascii="方正楷体_GBK" w:hAnsi="方正楷体_GBK" w:eastAsia="方正楷体_GBK" w:cs="方正楷体_GBK"/>
          <w:snapToGrid w:val="0"/>
          <w:color w:val="000000"/>
          <w:kern w:val="0"/>
          <w:sz w:val="32"/>
          <w:szCs w:val="32"/>
          <w:lang w:val="en-US" w:eastAsia="zh-CN"/>
        </w:rPr>
        <w:t>区市场监管局、区科技局、区农业农村局等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/>
        </w:rPr>
        <w:t>〕</w:t>
      </w:r>
    </w:p>
    <w:p w14:paraId="5D47C7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80" w:firstLineChars="200"/>
        <w:textAlignment w:val="auto"/>
        <w:rPr>
          <w:rFonts w:ascii="Times New Roman" w:hAnsi="Times New Roman" w:eastAsia="方正黑体_GBK"/>
          <w:sz w:val="34"/>
          <w:szCs w:val="34"/>
        </w:rPr>
      </w:pPr>
      <w:r>
        <w:rPr>
          <w:rFonts w:ascii="Times New Roman" w:hAnsi="Times New Roman" w:eastAsia="方正黑体_GBK"/>
          <w:sz w:val="34"/>
          <w:szCs w:val="34"/>
        </w:rPr>
        <w:t>三、保障措施</w:t>
      </w:r>
    </w:p>
    <w:p w14:paraId="6EEADE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napToGrid w:val="0"/>
          <w:color w:val="000000"/>
          <w:kern w:val="0"/>
          <w:sz w:val="32"/>
          <w:szCs w:val="32"/>
        </w:rPr>
        <w:t>围绕科技赋能农业强区建设，加强顶层设计，出台三年行动方案，统筹推进实施。积极向上争取专项资金，制定完善契合盐都实际、更有支撑力的科技强农政策，持续激发企业自主创新内在动力。发挥财政资金撬动作用，引导更多社会资金支持农业科技创新。区相关部门围绕职责分工，加强协同联动，各镇（区、街道）协同推进科技强农各项工作开展。</w:t>
      </w:r>
    </w:p>
    <w:p w14:paraId="164C97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485D82"/>
    <w:rsid w:val="2AF35C03"/>
    <w:rsid w:val="7948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2026-04-24T06:56:00Z</dcterms:created>
  <dc:creator>心海蓝蓝1420087692</dc:creator>
  <cp:lastModifiedBy>心海蓝蓝1420087692</cp:lastModifiedBy>
  <dcterms:modified xsi:type="dcterms:W3CDTF">2026-04-24T06:58:29Z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149F3E5628C04D74882D469F5FBF87BC_13</vt:lpwstr>
  </property>
  <property fmtid="{D5CDD505-2E9C-101B-9397-08002B2CF9AE}" pid="4" name="KSOTemplateDocerSaveRecord">
    <vt:lpwstr>eyJoZGlkIjoiMTg5Mjg5ZDQ0MjZhN2JmODZhZjAxNTE1YjZkOWQ3MmUiLCJ1c2VySWQiOiIyNzg2NzMxMiJ9</vt:lpwstr>
  </property>
</Properties>
</file>