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70" w:lineRule="exact"/>
        <w:jc w:val="center"/>
        <w:rPr>
          <w:rFonts w:hint="default" w:ascii="Times New Roman" w:hAnsi="Times New Roman" w:eastAsia="方正小标宋简体" w:cs="Times New Roman"/>
          <w:sz w:val="44"/>
          <w:szCs w:val="44"/>
        </w:rPr>
      </w:pPr>
    </w:p>
    <w:p>
      <w:pPr>
        <w:spacing w:line="570" w:lineRule="exact"/>
        <w:jc w:val="center"/>
        <w:rPr>
          <w:rFonts w:eastAsia="方正小标宋_GBK"/>
          <w:color w:val="000000"/>
          <w:sz w:val="44"/>
          <w:szCs w:val="44"/>
        </w:rPr>
      </w:pPr>
      <w:bookmarkStart w:id="0" w:name="_GoBack"/>
      <w:r>
        <w:rPr>
          <w:rFonts w:hint="default" w:ascii="Times New Roman" w:hAnsi="Times New Roman" w:eastAsia="方正小标宋简体" w:cs="Times New Roman"/>
          <w:sz w:val="44"/>
          <w:szCs w:val="44"/>
        </w:rPr>
        <w:t>盐城市盐都区村集体负责人出庭应诉规范指引</w:t>
      </w:r>
    </w:p>
    <w:bookmarkEnd w:id="0"/>
    <w:p>
      <w:pPr>
        <w:spacing w:line="570" w:lineRule="exact"/>
        <w:jc w:val="center"/>
        <w:rPr>
          <w:rFonts w:hint="eastAsia" w:ascii="方正楷体_GBK" w:hAnsi="方正楷体_GBK" w:eastAsia="方正楷体_GBK" w:cs="方正楷体_GBK"/>
          <w:b w:val="0"/>
          <w:bCs/>
          <w:color w:val="000000"/>
          <w:sz w:val="34"/>
          <w:szCs w:val="34"/>
          <w:lang w:eastAsia="zh-CN"/>
        </w:rPr>
      </w:pPr>
      <w:r>
        <w:rPr>
          <w:rFonts w:hint="eastAsia" w:ascii="方正楷体_GBK" w:hAnsi="方正楷体_GBK" w:eastAsia="方正楷体_GBK" w:cs="方正楷体_GBK"/>
          <w:b w:val="0"/>
          <w:bCs/>
          <w:color w:val="000000"/>
          <w:sz w:val="34"/>
          <w:szCs w:val="34"/>
          <w:lang w:eastAsia="zh-CN"/>
        </w:rPr>
        <w:t>（</w:t>
      </w:r>
      <w:r>
        <w:rPr>
          <w:rFonts w:hint="eastAsia" w:ascii="方正楷体_GBK" w:hAnsi="方正楷体_GBK" w:eastAsia="方正楷体_GBK" w:cs="方正楷体_GBK"/>
          <w:b w:val="0"/>
          <w:bCs/>
          <w:color w:val="000000"/>
          <w:sz w:val="34"/>
          <w:szCs w:val="34"/>
          <w:lang w:val="en-US" w:eastAsia="zh-CN"/>
        </w:rPr>
        <w:t>征求意见稿</w:t>
      </w:r>
      <w:r>
        <w:rPr>
          <w:rFonts w:hint="eastAsia" w:ascii="方正楷体_GBK" w:hAnsi="方正楷体_GBK" w:eastAsia="方正楷体_GBK" w:cs="方正楷体_GBK"/>
          <w:b w:val="0"/>
          <w:bCs/>
          <w:color w:val="000000"/>
          <w:sz w:val="34"/>
          <w:szCs w:val="34"/>
          <w:lang w:eastAsia="zh-CN"/>
        </w:rPr>
        <w:t>）</w:t>
      </w:r>
    </w:p>
    <w:p>
      <w:pPr>
        <w:pStyle w:val="2"/>
        <w:rPr>
          <w:rFonts w:hint="eastAsia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为依法保护村集体和村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民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合法权益，有序推进乡村振兴， 提升基层自治能力和自治水平，现就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村集体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经济组织理事长（村民委员会主任）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出庭应诉工作作出如下</w:t>
      </w:r>
      <w:r>
        <w:rPr>
          <w:rFonts w:hint="eastAsia" w:ascii="Times New Roman" w:hAnsi="Times New Roman" w:cs="Times New Roman"/>
          <w:sz w:val="32"/>
          <w:szCs w:val="32"/>
          <w:lang w:eastAsia="zh-CN"/>
        </w:rPr>
        <w:t>指引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一</w:t>
      </w:r>
      <w:r>
        <w:rPr>
          <w:rFonts w:hint="default" w:ascii="Times New Roman" w:hAnsi="Times New Roman" w:cs="Times New Roman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本</w:t>
      </w:r>
      <w:r>
        <w:rPr>
          <w:rFonts w:hint="eastAsia" w:ascii="Times New Roman" w:hAnsi="Times New Roman" w:cs="Times New Roman"/>
          <w:sz w:val="32"/>
          <w:szCs w:val="32"/>
          <w:lang w:eastAsia="zh-CN"/>
        </w:rPr>
        <w:t>指引</w:t>
      </w:r>
      <w:r>
        <w:rPr>
          <w:rFonts w:hint="default" w:ascii="Times New Roman" w:hAnsi="Times New Roman" w:eastAsia="仿宋_GB2312" w:cs="Times New Roman"/>
          <w:sz w:val="32"/>
          <w:szCs w:val="32"/>
        </w:rPr>
        <w:t>适用于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盐都区范围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内村集体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经济组织（村民委员会）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为被告的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民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事诉讼案件出庭应诉工作。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二、本</w:t>
      </w:r>
      <w:r>
        <w:rPr>
          <w:rFonts w:hint="eastAsia" w:ascii="Times New Roman" w:hAnsi="Times New Roman" w:cs="Times New Roman"/>
          <w:sz w:val="32"/>
          <w:szCs w:val="32"/>
          <w:lang w:eastAsia="zh-CN"/>
        </w:rPr>
        <w:t>指引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所称村集体，包括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盐都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区村集体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经济组织、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村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民</w:t>
      </w: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委员会、村小组等。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三、村集体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经济组织理事长（村民委员会主任）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出庭应诉是指村集体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经济组织（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村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民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委员会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按照诉讼要求出庭参加法院案件审判活动的行为。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四、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对于涉及村集体所有的土地、自然资源、其他财产等重大集体利益，生态环境保护，社会关注度高或者可能引发群体性事件的案件，村集体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经济组织理事长（村民委员会主任）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一般应当出庭应诉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。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人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民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法院认为有必要的，可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要求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村集体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经济组织理事长（村民委员会主任）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出庭应诉。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五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村集体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经济组织（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村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民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委员会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在涉及以下类型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案件时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村集体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经济组织理事长（村民委员会主任）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原则上不得缺席: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一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诉讼标的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1万元（含）以上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的案件</w:t>
      </w:r>
      <w:r>
        <w:rPr>
          <w:rFonts w:hint="eastAsia" w:ascii="Times New Roman" w:hAnsi="Times New Roman" w:cs="Times New Roman"/>
          <w:sz w:val="32"/>
          <w:szCs w:val="32"/>
          <w:lang w:eastAsia="zh-CN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二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村集体在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答辩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中自认明显不利事实的案件</w:t>
      </w:r>
      <w:r>
        <w:rPr>
          <w:rFonts w:hint="eastAsia" w:ascii="Times New Roman" w:hAnsi="Times New Roman" w:cs="Times New Roman"/>
          <w:sz w:val="32"/>
          <w:szCs w:val="32"/>
          <w:lang w:eastAsia="zh-CN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三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可能存在串通或提供虚假证据或隐匿、毁灭证据情况的案件</w:t>
      </w:r>
      <w:r>
        <w:rPr>
          <w:rFonts w:hint="eastAsia" w:ascii="Times New Roman" w:hAnsi="Times New Roman" w:cs="Times New Roman"/>
          <w:sz w:val="32"/>
          <w:szCs w:val="32"/>
          <w:lang w:eastAsia="zh-CN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四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可能形成示范性作用的案件</w:t>
      </w:r>
      <w:r>
        <w:rPr>
          <w:rFonts w:hint="eastAsia" w:ascii="Times New Roman" w:hAnsi="Times New Roman" w:cs="Times New Roman"/>
          <w:sz w:val="32"/>
          <w:szCs w:val="32"/>
          <w:lang w:eastAsia="zh-CN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五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本区范围内有重大影响或者群体性的案件</w:t>
      </w:r>
      <w:r>
        <w:rPr>
          <w:rFonts w:hint="eastAsia" w:ascii="Times New Roman" w:hAnsi="Times New Roman" w:cs="Times New Roman"/>
          <w:sz w:val="32"/>
          <w:szCs w:val="32"/>
          <w:lang w:eastAsia="zh-CN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六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其他可能产生重大影响的案件。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六、村集体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经济组织理事长（村民委员会主任）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是出庭应诉的第一责任人，对村集体涉诉案件应在法定期限内做好组织答辨、履行举证责任等出庭应诉工作。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七、村集体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经济组织理事长（村民委员会主任）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应诚信诉讼，积极保护集体财产和村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民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合法利益。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八、村集体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经济组织理事长（村民委员会主任）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原则上应当出庭应诉，有下列情形之一的，可以不出庭应诉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一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不可抗力</w:t>
      </w:r>
      <w:r>
        <w:rPr>
          <w:rFonts w:hint="eastAsia" w:ascii="Times New Roman" w:hAnsi="Times New Roman" w:cs="Times New Roman"/>
          <w:sz w:val="32"/>
          <w:szCs w:val="32"/>
          <w:lang w:eastAsia="zh-CN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二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意外事件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三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仿宋_GB2312" w:cs="Times New Roman"/>
          <w:sz w:val="32"/>
          <w:szCs w:val="32"/>
        </w:rPr>
        <w:t>需要履行他人不能代替的公共事务</w:t>
      </w:r>
      <w:r>
        <w:rPr>
          <w:rFonts w:hint="eastAsia" w:ascii="Times New Roman" w:hAnsi="Times New Roman" w:cs="Times New Roman"/>
          <w:sz w:val="32"/>
          <w:szCs w:val="32"/>
          <w:lang w:eastAsia="zh-CN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四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无法出庭的其他正当事由。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区法院需对村集体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经济组织理事长（村民委员会主任）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不能出庭的理由以及证明材料进行审查。村集体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经济组织理事长（村民委员会主任）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如有正当理由不能出庭，应当委托熟悉情况的村干部或律师等代理人出庭应诉。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九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村集体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经济组织理事长（村民委员会主任）在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区法院引导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下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做好下列出庭应诉工作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cs="Times New Roman"/>
          <w:sz w:val="32"/>
          <w:szCs w:val="32"/>
          <w:lang w:eastAsia="zh-CN"/>
        </w:rPr>
        <w:t>（</w:t>
      </w:r>
      <w:r>
        <w:rPr>
          <w:rFonts w:hint="eastAsia" w:ascii="Times New Roman" w:hAnsi="Times New Roman" w:cs="Times New Roman"/>
          <w:sz w:val="32"/>
          <w:szCs w:val="32"/>
          <w:lang w:val="en-US" w:eastAsia="zh-CN"/>
        </w:rPr>
        <w:t>一</w:t>
      </w:r>
      <w:r>
        <w:rPr>
          <w:rFonts w:hint="eastAsia" w:ascii="Times New Roman" w:hAnsi="Times New Roman" w:cs="Times New Roman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庭审前，认真研究案情、收集证据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及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其他有关材料，熟悉相关法律规定</w:t>
      </w:r>
      <w:r>
        <w:rPr>
          <w:rFonts w:hint="eastAsia" w:ascii="Times New Roman" w:hAnsi="Times New Roman" w:cs="Times New Roman"/>
          <w:sz w:val="32"/>
          <w:szCs w:val="32"/>
          <w:lang w:eastAsia="zh-CN"/>
        </w:rPr>
        <w:t>；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组织相关人员或者委托代理人作好出庭应诉准备</w:t>
      </w:r>
      <w:r>
        <w:rPr>
          <w:rFonts w:hint="eastAsia" w:ascii="Times New Roman" w:hAnsi="Times New Roman" w:cs="Times New Roman"/>
          <w:sz w:val="32"/>
          <w:szCs w:val="32"/>
          <w:lang w:eastAsia="zh-CN"/>
        </w:rPr>
        <w:t>；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在法定期限内向区法院提交答辩状、证据、身份证明材料等。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cs="Times New Roman"/>
          <w:sz w:val="32"/>
          <w:szCs w:val="32"/>
          <w:lang w:eastAsia="zh-CN"/>
        </w:rPr>
        <w:t>（</w:t>
      </w:r>
      <w:r>
        <w:rPr>
          <w:rFonts w:hint="eastAsia" w:ascii="Times New Roman" w:hAnsi="Times New Roman" w:cs="Times New Roman"/>
          <w:sz w:val="32"/>
          <w:szCs w:val="32"/>
          <w:lang w:val="en-US" w:eastAsia="zh-CN"/>
        </w:rPr>
        <w:t>二</w:t>
      </w:r>
      <w:r>
        <w:rPr>
          <w:rFonts w:hint="eastAsia" w:ascii="Times New Roman" w:hAnsi="Times New Roman" w:cs="Times New Roman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庭审中，应当配合区法院查清案件事实，按照法庭要求举证、质证、陈述、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辩论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，不得拒绝回答审判人员问题，不得未经法庭许可中途退庭</w:t>
      </w:r>
      <w:r>
        <w:rPr>
          <w:rFonts w:hint="eastAsia" w:ascii="Times New Roman" w:hAnsi="Times New Roman" w:cs="Times New Roman"/>
          <w:sz w:val="32"/>
          <w:szCs w:val="32"/>
          <w:lang w:eastAsia="zh-CN"/>
        </w:rPr>
        <w:t>；</w:t>
      </w:r>
      <w:r>
        <w:rPr>
          <w:rFonts w:hint="eastAsia" w:ascii="Times New Roman" w:hAnsi="Times New Roman" w:cs="Times New Roman"/>
          <w:sz w:val="32"/>
          <w:szCs w:val="32"/>
          <w:lang w:val="en-US" w:eastAsia="zh-CN"/>
        </w:rPr>
        <w:t>积极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协助配合区法院依法开展调解工作，促进案结事了。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三）涉及村集体经济纠纷案件时，与区农业农村局、区民政局案件建立信息互通机制。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十、区法院发现村集体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经济组织理事长（村民委员会主任）存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在土地承包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补偿款分配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财务收支、公章使用等村务管理不规范行为，应及时发出司法建议。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十一、区检察院对村集体涉诉的案件审理全过程实施法律监督。对在办案中发现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村集体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经济组织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在土地承包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补偿款分配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财务收支、公章使用等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方面有管理漏洞的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，应及时发出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检察建议。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十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、区司法局应加大乡村公共法律服务的力度，依法开展公证、一村一法律顾问等免费基层法律</w:t>
      </w:r>
      <w:r>
        <w:rPr>
          <w:rFonts w:hint="eastAsia" w:ascii="Times New Roman" w:hAnsi="Times New Roman" w:cs="Times New Roman"/>
          <w:sz w:val="32"/>
          <w:szCs w:val="32"/>
          <w:lang w:eastAsia="zh-CN"/>
        </w:rPr>
        <w:t>指引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服务，促进村集体应诉水平的提升。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十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三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、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区农业农村局、区民政局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可根据工作安排和需要，组织村集体负责人学习本</w:t>
      </w:r>
      <w:r>
        <w:rPr>
          <w:rFonts w:hint="eastAsia" w:ascii="Times New Roman" w:hAnsi="Times New Roman" w:cs="Times New Roman"/>
          <w:sz w:val="32"/>
          <w:szCs w:val="32"/>
          <w:lang w:eastAsia="zh-CN"/>
        </w:rPr>
        <w:t>指引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相关内容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并将村集体负责人出庭应诉工作情况纳入年度村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居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绩效考评。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十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四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、区纪委、区监委对村集体负责人出庭应诉情况进行监督检查。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十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五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、村集体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经济组织理事长（村民委员会主任）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诉讼败诉责任追责的范围</w:t>
      </w:r>
      <w:r>
        <w:rPr>
          <w:rFonts w:hint="eastAsia" w:ascii="Times New Roman" w:hAnsi="Times New Roman" w:cs="Times New Roman"/>
          <w:sz w:val="32"/>
          <w:szCs w:val="32"/>
          <w:lang w:eastAsia="zh-CN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（一）因不履行法定职责或者不正确履行法定职责导致案件败诉的；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（二）因未在法定期限内提交证据，无正当理由拒不参加庭审活动、调解活动等应诉工作不当导致案件败诉的；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（三）其他因故意或者重大过失导致案件败诉，造成严重后果的</w:t>
      </w:r>
      <w:r>
        <w:rPr>
          <w:rFonts w:hint="eastAsia" w:ascii="Times New Roman" w:hAnsi="Times New Roman" w:cs="Times New Roman"/>
          <w:sz w:val="32"/>
          <w:szCs w:val="32"/>
          <w:lang w:eastAsia="zh-CN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（四）造成村集体经济组织（村民委会员）重大经济损失。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违反本</w:t>
      </w:r>
      <w:r>
        <w:rPr>
          <w:rFonts w:hint="eastAsia" w:ascii="Times New Roman" w:hAnsi="Times New Roman" w:cs="Times New Roman"/>
          <w:sz w:val="32"/>
          <w:szCs w:val="32"/>
          <w:lang w:eastAsia="zh-CN"/>
        </w:rPr>
        <w:t>指引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，构成违法违纪的，依法由相关部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门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追究责任。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" w:cs="Times New Roman"/>
          <w:color w:val="auto"/>
          <w:sz w:val="34"/>
          <w:szCs w:val="34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十六、本</w:t>
      </w:r>
      <w:r>
        <w:rPr>
          <w:rFonts w:hint="eastAsia" w:ascii="Times New Roman" w:hAnsi="Times New Roman" w:cs="Times New Roman"/>
          <w:sz w:val="32"/>
          <w:szCs w:val="32"/>
          <w:lang w:eastAsia="zh-CN"/>
        </w:rPr>
        <w:t>指引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自发布之日</w:t>
      </w:r>
      <w:r>
        <w:rPr>
          <w:rFonts w:hint="default" w:ascii="Times New Roman" w:hAnsi="Times New Roman" w:cs="Times New Roman"/>
          <w:sz w:val="32"/>
          <w:szCs w:val="32"/>
          <w:lang w:val="en-US" w:eastAsia="zh-CN"/>
        </w:rPr>
        <w:t>起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施行。</w:t>
      </w:r>
    </w:p>
    <w:sectPr>
      <w:footerReference r:id="rId3" w:type="default"/>
      <w:pgSz w:w="11906" w:h="16838"/>
      <w:pgMar w:top="2098" w:right="1531" w:bottom="1701" w:left="1531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幼圆">
    <w:panose1 w:val="0201050906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82" w:lineRule="exact"/>
      <w:ind w:firstLine="4099"/>
      <w:rPr>
        <w:rFonts w:ascii="幼圆" w:hAnsi="幼圆" w:eastAsia="幼圆" w:cs="幼圆"/>
        <w:sz w:val="21"/>
        <w:szCs w:val="21"/>
      </w:rPr>
    </w:pPr>
    <w:r>
      <w:rPr>
        <w:sz w:val="21"/>
        <w:szCs w:val="21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6"/>
                            <w:rPr>
                              <w:rFonts w:hint="default" w:ascii="Times New Roman" w:hAnsi="Times New Roman" w:cs="Times New Roman"/>
                              <w:sz w:val="30"/>
                              <w:szCs w:val="30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30"/>
                              <w:szCs w:val="30"/>
                            </w:rPr>
                            <w:t xml:space="preserve">— 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30"/>
                              <w:szCs w:val="30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30"/>
                              <w:szCs w:val="30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30"/>
                              <w:szCs w:val="30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30"/>
                              <w:szCs w:val="30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30"/>
                              <w:szCs w:val="30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30"/>
                              <w:szCs w:val="30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  <w:rPr>
                        <w:rFonts w:hint="default" w:ascii="Times New Roman" w:hAnsi="Times New Roman" w:cs="Times New Roman"/>
                        <w:sz w:val="30"/>
                        <w:szCs w:val="30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30"/>
                        <w:szCs w:val="30"/>
                      </w:rPr>
                      <w:t xml:space="preserve">— </w:t>
                    </w:r>
                    <w:r>
                      <w:rPr>
                        <w:rFonts w:hint="default" w:ascii="Times New Roman" w:hAnsi="Times New Roman" w:cs="Times New Roman"/>
                        <w:sz w:val="30"/>
                        <w:szCs w:val="30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30"/>
                        <w:szCs w:val="30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30"/>
                        <w:szCs w:val="30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30"/>
                        <w:szCs w:val="30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sz w:val="30"/>
                        <w:szCs w:val="30"/>
                      </w:rPr>
                      <w:fldChar w:fldCharType="end"/>
                    </w:r>
                    <w:r>
                      <w:rPr>
                        <w:rFonts w:hint="default" w:ascii="Times New Roman" w:hAnsi="Times New Roman" w:cs="Times New Roman"/>
                        <w:sz w:val="30"/>
                        <w:szCs w:val="30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FiMjY1MTBiMDM0NTVjZTVhNjA4ZTk3MGUyNWIzNDYifQ=="/>
  </w:docVars>
  <w:rsids>
    <w:rsidRoot w:val="4E233B68"/>
    <w:rsid w:val="01B54DB7"/>
    <w:rsid w:val="01C963AC"/>
    <w:rsid w:val="01F21361"/>
    <w:rsid w:val="027345B1"/>
    <w:rsid w:val="02755FB4"/>
    <w:rsid w:val="03D41080"/>
    <w:rsid w:val="0441634A"/>
    <w:rsid w:val="044C4332"/>
    <w:rsid w:val="04D035F5"/>
    <w:rsid w:val="06436049"/>
    <w:rsid w:val="069470D7"/>
    <w:rsid w:val="085B03F1"/>
    <w:rsid w:val="0B620918"/>
    <w:rsid w:val="0B621946"/>
    <w:rsid w:val="0B73065E"/>
    <w:rsid w:val="0C164D85"/>
    <w:rsid w:val="0C8353F1"/>
    <w:rsid w:val="0D415269"/>
    <w:rsid w:val="0D505652"/>
    <w:rsid w:val="0EAC525A"/>
    <w:rsid w:val="0F0408A9"/>
    <w:rsid w:val="0F4C2EA3"/>
    <w:rsid w:val="0F8808EA"/>
    <w:rsid w:val="0F9F0794"/>
    <w:rsid w:val="102B33B7"/>
    <w:rsid w:val="10865D5C"/>
    <w:rsid w:val="108856CC"/>
    <w:rsid w:val="122411C9"/>
    <w:rsid w:val="12617F82"/>
    <w:rsid w:val="131735FC"/>
    <w:rsid w:val="132C233E"/>
    <w:rsid w:val="13B05872"/>
    <w:rsid w:val="142E381C"/>
    <w:rsid w:val="14A26C98"/>
    <w:rsid w:val="1594066F"/>
    <w:rsid w:val="166A66F1"/>
    <w:rsid w:val="16E1188B"/>
    <w:rsid w:val="17591B70"/>
    <w:rsid w:val="19314B52"/>
    <w:rsid w:val="19C43961"/>
    <w:rsid w:val="19E8318B"/>
    <w:rsid w:val="1A2024D1"/>
    <w:rsid w:val="1BE77FFC"/>
    <w:rsid w:val="1CFD2F9D"/>
    <w:rsid w:val="1E140C3C"/>
    <w:rsid w:val="1E997845"/>
    <w:rsid w:val="1EDF4270"/>
    <w:rsid w:val="208E4638"/>
    <w:rsid w:val="214178FD"/>
    <w:rsid w:val="21C65756"/>
    <w:rsid w:val="23C574C5"/>
    <w:rsid w:val="23FA1FE5"/>
    <w:rsid w:val="241E3F25"/>
    <w:rsid w:val="24327310"/>
    <w:rsid w:val="2628402E"/>
    <w:rsid w:val="26B5091A"/>
    <w:rsid w:val="26C16B41"/>
    <w:rsid w:val="27320B40"/>
    <w:rsid w:val="28C900B5"/>
    <w:rsid w:val="290A0F1C"/>
    <w:rsid w:val="294049F8"/>
    <w:rsid w:val="29470FA6"/>
    <w:rsid w:val="29FF65A7"/>
    <w:rsid w:val="2A111E36"/>
    <w:rsid w:val="2AC04FE3"/>
    <w:rsid w:val="2CCB20ED"/>
    <w:rsid w:val="2D104F08"/>
    <w:rsid w:val="2E1F0507"/>
    <w:rsid w:val="2EAF5FC4"/>
    <w:rsid w:val="2F4131BE"/>
    <w:rsid w:val="2F8D6403"/>
    <w:rsid w:val="2FD66EDE"/>
    <w:rsid w:val="2FF1448B"/>
    <w:rsid w:val="304D54D5"/>
    <w:rsid w:val="30EC739D"/>
    <w:rsid w:val="31670532"/>
    <w:rsid w:val="322654CC"/>
    <w:rsid w:val="32351DB0"/>
    <w:rsid w:val="32840F7B"/>
    <w:rsid w:val="32854077"/>
    <w:rsid w:val="32E12CEE"/>
    <w:rsid w:val="33016EEC"/>
    <w:rsid w:val="33CC0DB1"/>
    <w:rsid w:val="33D6744F"/>
    <w:rsid w:val="362979CB"/>
    <w:rsid w:val="369E3333"/>
    <w:rsid w:val="38A97435"/>
    <w:rsid w:val="39410EE0"/>
    <w:rsid w:val="3A4B20C9"/>
    <w:rsid w:val="3A7461F5"/>
    <w:rsid w:val="3B0532F1"/>
    <w:rsid w:val="3C137C90"/>
    <w:rsid w:val="3C6E0545"/>
    <w:rsid w:val="3CDD502A"/>
    <w:rsid w:val="3D000963"/>
    <w:rsid w:val="3D2C5A4B"/>
    <w:rsid w:val="3D42082D"/>
    <w:rsid w:val="3D9848F1"/>
    <w:rsid w:val="3E75253C"/>
    <w:rsid w:val="3FB54359"/>
    <w:rsid w:val="3FD23641"/>
    <w:rsid w:val="40354679"/>
    <w:rsid w:val="40B41A41"/>
    <w:rsid w:val="40CA0FBC"/>
    <w:rsid w:val="413649FB"/>
    <w:rsid w:val="41384420"/>
    <w:rsid w:val="413F1D92"/>
    <w:rsid w:val="44CD1324"/>
    <w:rsid w:val="45AC3BE6"/>
    <w:rsid w:val="46537607"/>
    <w:rsid w:val="46734B2F"/>
    <w:rsid w:val="469814BD"/>
    <w:rsid w:val="46E464B1"/>
    <w:rsid w:val="48DA7B6B"/>
    <w:rsid w:val="49864DE4"/>
    <w:rsid w:val="4A072B9A"/>
    <w:rsid w:val="4A1E6ABE"/>
    <w:rsid w:val="4AD145C4"/>
    <w:rsid w:val="4B117A90"/>
    <w:rsid w:val="4BFC1E51"/>
    <w:rsid w:val="4C070814"/>
    <w:rsid w:val="4C2B1D58"/>
    <w:rsid w:val="4D1B4BF6"/>
    <w:rsid w:val="4D3A55F0"/>
    <w:rsid w:val="4E233B68"/>
    <w:rsid w:val="4EC76DE4"/>
    <w:rsid w:val="4EE673BC"/>
    <w:rsid w:val="4F565DD7"/>
    <w:rsid w:val="503E6C32"/>
    <w:rsid w:val="505E1082"/>
    <w:rsid w:val="50860FEB"/>
    <w:rsid w:val="50A27156"/>
    <w:rsid w:val="50EE3E48"/>
    <w:rsid w:val="50F47C38"/>
    <w:rsid w:val="51183927"/>
    <w:rsid w:val="51D021E7"/>
    <w:rsid w:val="53476745"/>
    <w:rsid w:val="5385162D"/>
    <w:rsid w:val="540C6549"/>
    <w:rsid w:val="558C3B80"/>
    <w:rsid w:val="55EE1632"/>
    <w:rsid w:val="56311020"/>
    <w:rsid w:val="56674A08"/>
    <w:rsid w:val="56F80CAB"/>
    <w:rsid w:val="576D3CD7"/>
    <w:rsid w:val="57771AFC"/>
    <w:rsid w:val="582E27DF"/>
    <w:rsid w:val="5845279F"/>
    <w:rsid w:val="58A82FEE"/>
    <w:rsid w:val="5A1D40DF"/>
    <w:rsid w:val="5A4C4C95"/>
    <w:rsid w:val="5A5B1DED"/>
    <w:rsid w:val="5B3E042E"/>
    <w:rsid w:val="5CDF354A"/>
    <w:rsid w:val="62CA4617"/>
    <w:rsid w:val="634E17BA"/>
    <w:rsid w:val="640E5CDC"/>
    <w:rsid w:val="657038D9"/>
    <w:rsid w:val="65CB447C"/>
    <w:rsid w:val="65D05AD1"/>
    <w:rsid w:val="67992221"/>
    <w:rsid w:val="67BB76FB"/>
    <w:rsid w:val="69267C77"/>
    <w:rsid w:val="69A43B52"/>
    <w:rsid w:val="69C266CE"/>
    <w:rsid w:val="69E00902"/>
    <w:rsid w:val="69EB24FD"/>
    <w:rsid w:val="6A06185F"/>
    <w:rsid w:val="6A1E0D6D"/>
    <w:rsid w:val="6A7639E9"/>
    <w:rsid w:val="6A7774B8"/>
    <w:rsid w:val="6A862505"/>
    <w:rsid w:val="6AC36259"/>
    <w:rsid w:val="6AF47602"/>
    <w:rsid w:val="6BD526E8"/>
    <w:rsid w:val="6C6B03EA"/>
    <w:rsid w:val="6CB174AE"/>
    <w:rsid w:val="6D5E04BB"/>
    <w:rsid w:val="6D877A12"/>
    <w:rsid w:val="6ED616BD"/>
    <w:rsid w:val="6F0933CD"/>
    <w:rsid w:val="6F15681B"/>
    <w:rsid w:val="6F190B3E"/>
    <w:rsid w:val="6FA10C39"/>
    <w:rsid w:val="6FBE2549"/>
    <w:rsid w:val="70622071"/>
    <w:rsid w:val="709541F4"/>
    <w:rsid w:val="72760055"/>
    <w:rsid w:val="727A5D97"/>
    <w:rsid w:val="728C0E2B"/>
    <w:rsid w:val="73A3279E"/>
    <w:rsid w:val="73DE5EB2"/>
    <w:rsid w:val="742F2BB2"/>
    <w:rsid w:val="747800B5"/>
    <w:rsid w:val="76055BDA"/>
    <w:rsid w:val="77527832"/>
    <w:rsid w:val="77D637C2"/>
    <w:rsid w:val="77E50054"/>
    <w:rsid w:val="78056103"/>
    <w:rsid w:val="780E04B2"/>
    <w:rsid w:val="79860F0D"/>
    <w:rsid w:val="7A113CEE"/>
    <w:rsid w:val="7B1D7C08"/>
    <w:rsid w:val="7B486CF1"/>
    <w:rsid w:val="7BDF0A19"/>
    <w:rsid w:val="7D391E12"/>
    <w:rsid w:val="7D4476CE"/>
    <w:rsid w:val="7DB83C18"/>
    <w:rsid w:val="7F182F6E"/>
    <w:rsid w:val="7F511C2E"/>
    <w:rsid w:val="7F8B1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qFormat="1" w:unhideWhenUsed="0" w:uiPriority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qFormat="1" w:unhideWhenUsed="0" w:uiPriority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仿宋_GB2312" w:cs="Times New Roman"/>
      <w:kern w:val="2"/>
      <w:sz w:val="32"/>
      <w:szCs w:val="22"/>
      <w:lang w:val="en-US" w:eastAsia="zh-CN" w:bidi="ar-SA"/>
    </w:rPr>
  </w:style>
  <w:style w:type="paragraph" w:styleId="4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rFonts w:eastAsia="方正小标宋_GBK"/>
      <w:kern w:val="44"/>
      <w:sz w:val="52"/>
    </w:rPr>
  </w:style>
  <w:style w:type="paragraph" w:styleId="5">
    <w:name w:val="heading 2"/>
    <w:basedOn w:val="1"/>
    <w:next w:val="1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10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index heading"/>
    <w:basedOn w:val="1"/>
    <w:next w:val="3"/>
    <w:semiHidden/>
    <w:qFormat/>
    <w:uiPriority w:val="0"/>
    <w:rPr>
      <w:rFonts w:ascii="Arial" w:hAnsi="Arial" w:cs="Arial"/>
      <w:b/>
      <w:bCs/>
    </w:rPr>
  </w:style>
  <w:style w:type="paragraph" w:styleId="3">
    <w:name w:val="index 1"/>
    <w:basedOn w:val="1"/>
    <w:next w:val="1"/>
    <w:semiHidden/>
    <w:qFormat/>
    <w:uiPriority w:val="0"/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8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11">
    <w:name w:val="我标题"/>
    <w:basedOn w:val="1"/>
    <w:qFormat/>
    <w:uiPriority w:val="0"/>
    <w:pPr>
      <w:spacing w:line="590" w:lineRule="exact"/>
      <w:jc w:val="center"/>
    </w:pPr>
    <w:rPr>
      <w:rFonts w:hint="eastAsia" w:ascii="Times New Roman" w:hAnsi="Times New Roman" w:eastAsia="方正小标宋_GBK" w:cs="Times New Roman"/>
      <w:sz w:val="44"/>
      <w:szCs w:val="44"/>
    </w:rPr>
  </w:style>
  <w:style w:type="paragraph" w:customStyle="1" w:styleId="12">
    <w:name w:val="一级标题"/>
    <w:basedOn w:val="4"/>
    <w:next w:val="1"/>
    <w:qFormat/>
    <w:uiPriority w:val="0"/>
    <w:pPr>
      <w:ind w:firstLine="680" w:firstLineChars="200"/>
    </w:pPr>
    <w:rPr>
      <w:rFonts w:eastAsia="方正黑体_GBK" w:asciiTheme="minorAscii" w:hAnsiTheme="minorAscii" w:cstheme="minorBidi"/>
      <w:sz w:val="34"/>
      <w:szCs w:val="32"/>
    </w:rPr>
  </w:style>
  <w:style w:type="paragraph" w:customStyle="1" w:styleId="13">
    <w:name w:val="二级标题"/>
    <w:basedOn w:val="1"/>
    <w:next w:val="5"/>
    <w:qFormat/>
    <w:uiPriority w:val="0"/>
    <w:pPr>
      <w:spacing w:line="520" w:lineRule="exact"/>
      <w:ind w:firstLine="643" w:firstLineChars="200"/>
    </w:pPr>
    <w:rPr>
      <w:rFonts w:hint="eastAsia" w:ascii="Times New Roman" w:hAnsi="Times New Roman" w:eastAsia="方正楷体_GBK" w:cs="Times New Roman"/>
      <w:sz w:val="34"/>
      <w:szCs w:val="32"/>
    </w:rPr>
  </w:style>
  <w:style w:type="paragraph" w:customStyle="1" w:styleId="14">
    <w:name w:val="Body text|1"/>
    <w:basedOn w:val="1"/>
    <w:qFormat/>
    <w:uiPriority w:val="0"/>
    <w:pPr>
      <w:spacing w:line="454" w:lineRule="auto"/>
      <w:ind w:firstLine="400"/>
    </w:pPr>
    <w:rPr>
      <w:rFonts w:ascii="宋体" w:hAnsi="宋体" w:eastAsia="宋体" w:cs="宋体"/>
      <w:sz w:val="28"/>
      <w:szCs w:val="28"/>
      <w:lang w:val="zh-TW" w:eastAsia="zh-TW" w:bidi="zh-TW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1631</Words>
  <Characters>1631</Characters>
  <Lines>0</Lines>
  <Paragraphs>0</Paragraphs>
  <TotalTime>1</TotalTime>
  <ScaleCrop>false</ScaleCrop>
  <LinksUpToDate>false</LinksUpToDate>
  <CharactersWithSpaces>1635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2022-02-09T08:42:00Z</dcterms:created>
  <dc:creator>洪艳</dc:creator>
  <cp:lastModifiedBy>肉骨茶嘉人</cp:lastModifiedBy>
  <cp:lastPrinted>2022-03-25T02:35:00Z</cp:lastPrinted>
  <dcterms:modified xsi:type="dcterms:W3CDTF">2023-06-15T07:33:39Z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CD45A5FA18B945FCB4B36FF59C5683A3_13</vt:lpwstr>
  </property>
</Properties>
</file>