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黑体" w:hAnsi="黑体" w:eastAsia="黑体"/>
          <w:b/>
          <w:sz w:val="44"/>
          <w:highlight w:val="none"/>
        </w:rPr>
      </w:pPr>
      <w:bookmarkStart w:id="0" w:name="_Hlk86153634"/>
    </w:p>
    <w:p>
      <w:pPr>
        <w:keepNext/>
        <w:keepLines/>
        <w:ind w:firstLine="0" w:firstLineChars="0"/>
        <w:jc w:val="center"/>
        <w:rPr>
          <w:rFonts w:ascii="方正小标宋简体" w:hAnsi="Calibri" w:eastAsia="方正小标宋简体" w:cs="Times New Roman"/>
          <w:bCs/>
          <w:kern w:val="44"/>
          <w:sz w:val="44"/>
          <w:szCs w:val="44"/>
          <w:highlight w:val="none"/>
        </w:rPr>
      </w:pPr>
      <w:r>
        <w:rPr>
          <w:rFonts w:hint="eastAsia" w:ascii="方正小标宋简体" w:hAnsi="Calibri" w:eastAsia="方正小标宋简体" w:cs="Times New Roman"/>
          <w:bCs/>
          <w:kern w:val="44"/>
          <w:sz w:val="44"/>
          <w:szCs w:val="44"/>
          <w:highlight w:val="none"/>
        </w:rPr>
        <w:t>烟台市新型城镇化与城乡融合发展规划</w:t>
      </w:r>
    </w:p>
    <w:p>
      <w:pPr>
        <w:keepNext/>
        <w:keepLines/>
        <w:ind w:firstLine="198" w:firstLineChars="45"/>
        <w:jc w:val="center"/>
        <w:rPr>
          <w:rFonts w:ascii="方正小标宋简体" w:hAnsi="Calibri" w:eastAsia="方正小标宋简体" w:cs="Times New Roman"/>
          <w:bCs/>
          <w:kern w:val="44"/>
          <w:sz w:val="44"/>
          <w:szCs w:val="44"/>
          <w:highlight w:val="none"/>
        </w:rPr>
      </w:pPr>
      <w:r>
        <w:rPr>
          <w:rFonts w:hint="eastAsia" w:ascii="方正小标宋简体" w:hAnsi="Calibri" w:eastAsia="方正小标宋简体" w:cs="Times New Roman"/>
          <w:bCs/>
          <w:kern w:val="44"/>
          <w:sz w:val="44"/>
          <w:szCs w:val="44"/>
          <w:highlight w:val="none"/>
        </w:rPr>
        <w:t>（2021-2035年）</w:t>
      </w:r>
    </w:p>
    <w:p>
      <w:pPr>
        <w:overflowPunct w:val="0"/>
        <w:autoSpaceDE w:val="0"/>
        <w:autoSpaceDN w:val="0"/>
        <w:ind w:firstLine="198" w:firstLineChars="71"/>
        <w:jc w:val="center"/>
        <w:rPr>
          <w:rFonts w:ascii="楷体_GB2312" w:hAnsi="仿宋_GB2312" w:eastAsia="楷体_GB2312" w:cs="仿宋_GB2312"/>
          <w:color w:val="000000" w:themeColor="text1"/>
          <w:sz w:val="28"/>
          <w:szCs w:val="28"/>
          <w:highlight w:val="none"/>
          <w14:textFill>
            <w14:solidFill>
              <w14:schemeClr w14:val="tx1"/>
            </w14:solidFill>
          </w14:textFill>
        </w:rPr>
      </w:pPr>
      <w:r>
        <w:rPr>
          <w:rFonts w:hint="eastAsia" w:ascii="楷体_GB2312" w:hAnsi="仿宋_GB2312" w:eastAsia="楷体_GB2312" w:cs="仿宋_GB2312"/>
          <w:color w:val="000000" w:themeColor="text1"/>
          <w:sz w:val="28"/>
          <w:szCs w:val="28"/>
          <w:highlight w:val="none"/>
          <w14:textFill>
            <w14:solidFill>
              <w14:schemeClr w14:val="tx1"/>
            </w14:solidFill>
          </w14:textFill>
        </w:rPr>
        <w:t>（</w:t>
      </w:r>
      <w:r>
        <w:rPr>
          <w:rFonts w:hint="eastAsia" w:ascii="楷体_GB2312" w:hAnsi="仿宋_GB2312" w:eastAsia="楷体_GB2312" w:cs="仿宋_GB2312"/>
          <w:color w:val="000000" w:themeColor="text1"/>
          <w:sz w:val="28"/>
          <w:szCs w:val="28"/>
          <w:highlight w:val="none"/>
          <w:lang w:eastAsia="zh-CN"/>
          <w14:textFill>
            <w14:solidFill>
              <w14:schemeClr w14:val="tx1"/>
            </w14:solidFill>
          </w14:textFill>
        </w:rPr>
        <w:t>征求意见</w:t>
      </w:r>
      <w:bookmarkStart w:id="99" w:name="_GoBack"/>
      <w:bookmarkEnd w:id="99"/>
      <w:r>
        <w:rPr>
          <w:rFonts w:hint="eastAsia" w:ascii="楷体_GB2312" w:hAnsi="仿宋_GB2312" w:eastAsia="楷体_GB2312" w:cs="仿宋_GB2312"/>
          <w:color w:val="000000" w:themeColor="text1"/>
          <w:sz w:val="28"/>
          <w:szCs w:val="28"/>
          <w:highlight w:val="none"/>
          <w14:textFill>
            <w14:solidFill>
              <w14:schemeClr w14:val="tx1"/>
            </w14:solidFill>
          </w14:textFill>
        </w:rPr>
        <w:t>稿）</w:t>
      </w: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autoSpaceDE w:val="0"/>
        <w:autoSpaceDN w:val="0"/>
        <w:adjustRightInd w:val="0"/>
        <w:spacing w:line="600" w:lineRule="exact"/>
        <w:ind w:firstLine="883"/>
        <w:jc w:val="center"/>
        <w:rPr>
          <w:rFonts w:ascii="黑体" w:hAnsi="黑体" w:eastAsia="黑体" w:cs="等线"/>
          <w:b/>
          <w:sz w:val="44"/>
          <w:szCs w:val="48"/>
          <w:highlight w:val="none"/>
        </w:rPr>
      </w:pPr>
    </w:p>
    <w:p>
      <w:pPr>
        <w:ind w:firstLine="0" w:firstLineChars="0"/>
        <w:rPr>
          <w:rFonts w:ascii="黑体" w:hAnsi="黑体" w:eastAsia="黑体" w:cs="Times New Roman"/>
          <w:szCs w:val="32"/>
          <w:highlight w:val="none"/>
        </w:rPr>
      </w:pPr>
    </w:p>
    <w:p>
      <w:pPr>
        <w:autoSpaceDE w:val="0"/>
        <w:autoSpaceDN w:val="0"/>
        <w:adjustRightInd w:val="0"/>
        <w:spacing w:line="600" w:lineRule="exact"/>
        <w:ind w:firstLine="562"/>
        <w:jc w:val="center"/>
        <w:rPr>
          <w:rFonts w:ascii="黑体" w:hAnsi="黑体" w:eastAsia="黑体" w:cs="等线"/>
          <w:b/>
          <w:sz w:val="28"/>
          <w:szCs w:val="48"/>
          <w:highlight w:val="none"/>
        </w:rPr>
      </w:pPr>
    </w:p>
    <w:p>
      <w:pPr>
        <w:autoSpaceDE w:val="0"/>
        <w:autoSpaceDN w:val="0"/>
        <w:adjustRightInd w:val="0"/>
        <w:spacing w:line="600" w:lineRule="exact"/>
        <w:ind w:firstLine="562"/>
        <w:jc w:val="center"/>
        <w:rPr>
          <w:rFonts w:ascii="黑体" w:hAnsi="黑体" w:eastAsia="黑体" w:cs="等线"/>
          <w:b/>
          <w:sz w:val="28"/>
          <w:szCs w:val="48"/>
          <w:highlight w:val="none"/>
        </w:rPr>
      </w:pPr>
    </w:p>
    <w:p>
      <w:pPr>
        <w:autoSpaceDE w:val="0"/>
        <w:autoSpaceDN w:val="0"/>
        <w:adjustRightInd w:val="0"/>
        <w:ind w:firstLine="640"/>
        <w:jc w:val="center"/>
        <w:rPr>
          <w:rFonts w:ascii="黑体" w:hAnsi="黑体" w:eastAsia="黑体" w:cs="Times New Roman"/>
          <w:szCs w:val="32"/>
          <w:highlight w:val="none"/>
        </w:rPr>
      </w:pPr>
      <w:r>
        <w:rPr>
          <w:rFonts w:hint="eastAsia" w:ascii="黑体" w:hAnsi="黑体" w:eastAsia="黑体" w:cs="Times New Roman"/>
          <w:szCs w:val="32"/>
          <w:highlight w:val="none"/>
        </w:rPr>
        <w:t>浙江大学城乡规划设计研究院</w:t>
      </w:r>
    </w:p>
    <w:p>
      <w:pPr>
        <w:autoSpaceDE w:val="0"/>
        <w:autoSpaceDN w:val="0"/>
        <w:adjustRightInd w:val="0"/>
        <w:ind w:firstLine="640"/>
        <w:jc w:val="center"/>
        <w:rPr>
          <w:rFonts w:ascii="黑体" w:hAnsi="黑体" w:eastAsia="黑体" w:cs="Times New Roman"/>
          <w:szCs w:val="32"/>
          <w:highlight w:val="none"/>
        </w:rPr>
      </w:pPr>
      <w:r>
        <w:rPr>
          <w:rFonts w:hint="eastAsia" w:ascii="黑体" w:hAnsi="黑体" w:eastAsia="黑体" w:cs="Times New Roman"/>
          <w:szCs w:val="32"/>
          <w:highlight w:val="none"/>
        </w:rPr>
        <w:t>烟台市建筑设计研究股份有限公司</w:t>
      </w:r>
    </w:p>
    <w:p>
      <w:pPr>
        <w:autoSpaceDE w:val="0"/>
        <w:autoSpaceDN w:val="0"/>
        <w:adjustRightInd w:val="0"/>
        <w:ind w:firstLine="640"/>
        <w:jc w:val="center"/>
        <w:rPr>
          <w:rFonts w:hint="eastAsia" w:ascii="黑体" w:hAnsi="黑体" w:eastAsia="黑体" w:cs="Times New Roman"/>
          <w:szCs w:val="32"/>
          <w:highlight w:val="none"/>
          <w:lang w:eastAsia="zh-CN"/>
        </w:rPr>
      </w:pPr>
      <w:r>
        <w:rPr>
          <w:rFonts w:ascii="黑体" w:hAnsi="黑体" w:eastAsia="黑体" w:cs="Times New Roman"/>
          <w:szCs w:val="32"/>
          <w:highlight w:val="none"/>
        </w:rPr>
        <w:t>2021.1</w:t>
      </w:r>
      <w:r>
        <w:rPr>
          <w:rFonts w:hint="eastAsia" w:ascii="黑体" w:hAnsi="黑体" w:eastAsia="黑体" w:cs="Times New Roman"/>
          <w:szCs w:val="32"/>
          <w:highlight w:val="none"/>
          <w:lang w:val="en-US" w:eastAsia="zh-CN"/>
        </w:rPr>
        <w:t>1</w:t>
      </w:r>
    </w:p>
    <w:p>
      <w:pPr>
        <w:autoSpaceDE w:val="0"/>
        <w:autoSpaceDN w:val="0"/>
        <w:adjustRightInd w:val="0"/>
        <w:spacing w:line="600" w:lineRule="exact"/>
        <w:ind w:firstLine="562"/>
        <w:jc w:val="center"/>
        <w:rPr>
          <w:rFonts w:ascii="黑体" w:hAnsi="黑体" w:eastAsia="黑体" w:cs="等线"/>
          <w:b/>
          <w:sz w:val="28"/>
          <w:szCs w:val="48"/>
          <w:highlight w:val="none"/>
        </w:rPr>
      </w:pPr>
    </w:p>
    <w:p>
      <w:pPr>
        <w:autoSpaceDE w:val="0"/>
        <w:autoSpaceDN w:val="0"/>
        <w:adjustRightInd w:val="0"/>
        <w:spacing w:line="600" w:lineRule="exact"/>
        <w:ind w:firstLine="562"/>
        <w:jc w:val="center"/>
        <w:rPr>
          <w:rFonts w:ascii="黑体" w:hAnsi="黑体" w:eastAsia="黑体" w:cs="等线"/>
          <w:b/>
          <w:sz w:val="28"/>
          <w:szCs w:val="48"/>
          <w:highlight w:val="none"/>
        </w:rPr>
      </w:pPr>
    </w:p>
    <w:p>
      <w:pPr>
        <w:autoSpaceDE w:val="0"/>
        <w:autoSpaceDN w:val="0"/>
        <w:adjustRightInd w:val="0"/>
        <w:spacing w:line="600" w:lineRule="exact"/>
        <w:ind w:firstLine="562"/>
        <w:jc w:val="center"/>
        <w:rPr>
          <w:rFonts w:ascii="黑体" w:hAnsi="黑体" w:eastAsia="黑体" w:cs="等线"/>
          <w:b/>
          <w:sz w:val="28"/>
          <w:szCs w:val="48"/>
          <w:highlight w:val="none"/>
        </w:rPr>
        <w:sectPr>
          <w:headerReference r:id="rId5" w:type="default"/>
          <w:footerReference r:id="rId6" w:type="default"/>
          <w:pgSz w:w="11906" w:h="16838"/>
          <w:pgMar w:top="1440" w:right="1800" w:bottom="1440" w:left="1800" w:header="851" w:footer="992" w:gutter="0"/>
          <w:pgNumType w:fmt="lowerRoman" w:start="1"/>
          <w:cols w:space="425" w:num="1"/>
          <w:docGrid w:type="lines" w:linePitch="312" w:charSpace="0"/>
        </w:sectPr>
      </w:pPr>
    </w:p>
    <w:sdt>
      <w:sdtPr>
        <w:rPr>
          <w:rFonts w:ascii="方正小标宋简体" w:hAnsi="Calibri" w:eastAsia="方正小标宋简体" w:cs="Times New Roman"/>
          <w:b/>
          <w:bCs/>
          <w:kern w:val="44"/>
          <w:sz w:val="21"/>
          <w:szCs w:val="44"/>
          <w:highlight w:val="none"/>
          <w:lang w:val="zh-CN"/>
        </w:rPr>
        <w:id w:val="892234234"/>
        <w:docPartObj>
          <w:docPartGallery w:val="Table of Contents"/>
          <w:docPartUnique/>
        </w:docPartObj>
      </w:sdtPr>
      <w:sdtEndPr>
        <w:rPr>
          <w:rFonts w:ascii="方正小标宋简体" w:hAnsi="Calibri" w:eastAsia="方正小标宋简体" w:cs="Times New Roman"/>
          <w:b w:val="0"/>
          <w:bCs/>
          <w:kern w:val="44"/>
          <w:sz w:val="32"/>
          <w:szCs w:val="44"/>
          <w:highlight w:val="none"/>
          <w:lang w:val="zh-CN"/>
        </w:rPr>
      </w:sdtEndPr>
      <w:sdtContent>
        <w:p>
          <w:pPr>
            <w:ind w:firstLine="422"/>
            <w:jc w:val="center"/>
            <w:rPr>
              <w:highlight w:val="none"/>
            </w:rPr>
          </w:pPr>
          <w:bookmarkStart w:id="1" w:name="_Toc90553258"/>
          <w:bookmarkStart w:id="2" w:name="_Toc86412142"/>
          <w:bookmarkStart w:id="3" w:name="_Toc86162073"/>
          <w:bookmarkStart w:id="4" w:name="_Toc86162008"/>
          <w:bookmarkStart w:id="5" w:name="_Toc86311478"/>
          <w:bookmarkStart w:id="6" w:name="_Toc86161637"/>
          <w:r>
            <w:rPr>
              <w:rFonts w:hint="eastAsia" w:ascii="黑体" w:hAnsi="黑体" w:eastAsia="黑体"/>
              <w:b/>
              <w:highlight w:val="none"/>
            </w:rPr>
            <w:t>目  录</w:t>
          </w:r>
          <w:bookmarkEnd w:id="1"/>
          <w:bookmarkEnd w:id="2"/>
          <w:bookmarkEnd w:id="3"/>
          <w:bookmarkEnd w:id="4"/>
          <w:bookmarkEnd w:id="5"/>
          <w:bookmarkEnd w:id="6"/>
          <w:r>
            <w:rPr>
              <w:rFonts w:hint="eastAsia"/>
              <w:highlight w:val="none"/>
            </w:rPr>
            <w:fldChar w:fldCharType="begin"/>
          </w:r>
          <w:r>
            <w:rPr>
              <w:rFonts w:hint="eastAsia"/>
              <w:highlight w:val="none"/>
            </w:rPr>
            <w:instrText xml:space="preserve"> TOC \o "1-2" \h \z \u </w:instrText>
          </w:r>
          <w:r>
            <w:rPr>
              <w:rFonts w:hint="eastAsia"/>
              <w:highlight w:val="none"/>
            </w:rPr>
            <w:fldChar w:fldCharType="separate"/>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"_Toc91488161" </w:instrText>
          </w:r>
          <w:r>
            <w:rPr>
              <w:highlight w:val="none"/>
            </w:rPr>
            <w:fldChar w:fldCharType="separate"/>
          </w:r>
          <w:r>
            <w:rPr>
              <w:rStyle w:val="30"/>
              <w:highlight w:val="none"/>
            </w:rPr>
            <w:t>前 言</w:t>
          </w:r>
          <w:r>
            <w:rPr>
              <w:highlight w:val="none"/>
            </w:rPr>
            <w:tab/>
          </w:r>
          <w:r>
            <w:rPr>
              <w:highlight w:val="none"/>
            </w:rPr>
            <w:fldChar w:fldCharType="begin"/>
          </w:r>
          <w:r>
            <w:rPr>
              <w:highlight w:val="none"/>
            </w:rPr>
            <w:instrText xml:space="preserve"> PAGEREF _Toc91488161 \h </w:instrText>
          </w:r>
          <w:r>
            <w:rPr>
              <w:highlight w:val="none"/>
            </w:rPr>
            <w:fldChar w:fldCharType="separate"/>
          </w:r>
          <w:r>
            <w:rPr>
              <w:highlight w:val="none"/>
            </w:rPr>
            <w:t>1</w:t>
          </w:r>
          <w:r>
            <w:rPr>
              <w:highlight w:val="none"/>
            </w:rPr>
            <w:fldChar w:fldCharType="end"/>
          </w:r>
          <w:r>
            <w:rPr>
              <w:highlight w:val="none"/>
            </w:rPr>
            <w:fldChar w:fldCharType="end"/>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"_Toc91488162" </w:instrText>
          </w:r>
          <w:r>
            <w:rPr>
              <w:highlight w:val="none"/>
            </w:rPr>
            <w:fldChar w:fldCharType="separate"/>
          </w:r>
          <w:r>
            <w:rPr>
              <w:rStyle w:val="30"/>
              <w:highlight w:val="none"/>
            </w:rPr>
            <w:t>第一章 总体要求</w:t>
          </w:r>
          <w:r>
            <w:rPr>
              <w:highlight w:val="none"/>
            </w:rPr>
            <w:tab/>
          </w:r>
          <w:r>
            <w:rPr>
              <w:highlight w:val="none"/>
            </w:rPr>
            <w:fldChar w:fldCharType="begin"/>
          </w:r>
          <w:r>
            <w:rPr>
              <w:highlight w:val="none"/>
            </w:rPr>
            <w:instrText xml:space="preserve"> PAGEREF _Toc91488162 \h </w:instrText>
          </w:r>
          <w:r>
            <w:rPr>
              <w:highlight w:val="none"/>
            </w:rPr>
            <w:fldChar w:fldCharType="separate"/>
          </w:r>
          <w:r>
            <w:rPr>
              <w:highlight w:val="none"/>
            </w:rPr>
            <w:t>1</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"_Toc91488163" </w:instrText>
          </w:r>
          <w:r>
            <w:rPr>
              <w:highlight w:val="none"/>
            </w:rPr>
            <w:fldChar w:fldCharType="separate"/>
          </w:r>
          <w:r>
            <w:rPr>
              <w:rStyle w:val="30"/>
              <w:highlight w:val="none"/>
            </w:rPr>
            <w:t>第一节 指导思想</w:t>
          </w:r>
          <w:r>
            <w:rPr>
              <w:highlight w:val="none"/>
            </w:rPr>
            <w:tab/>
          </w:r>
          <w:r>
            <w:rPr>
              <w:highlight w:val="none"/>
            </w:rPr>
            <w:fldChar w:fldCharType="begin"/>
          </w:r>
          <w:r>
            <w:rPr>
              <w:highlight w:val="none"/>
            </w:rPr>
            <w:instrText xml:space="preserve"> PAGEREF _Toc91488163 \h </w:instrText>
          </w:r>
          <w:r>
            <w:rPr>
              <w:highlight w:val="none"/>
            </w:rPr>
            <w:fldChar w:fldCharType="separate"/>
          </w:r>
          <w:r>
            <w:rPr>
              <w:highlight w:val="none"/>
            </w:rPr>
            <w:t>1</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"_Toc91488164" </w:instrText>
          </w:r>
          <w:r>
            <w:rPr>
              <w:highlight w:val="none"/>
            </w:rPr>
            <w:fldChar w:fldCharType="separate"/>
          </w:r>
          <w:r>
            <w:rPr>
              <w:rStyle w:val="30"/>
              <w:highlight w:val="none"/>
            </w:rPr>
            <w:t>第二节 基本原则</w:t>
          </w:r>
          <w:r>
            <w:rPr>
              <w:highlight w:val="none"/>
            </w:rPr>
            <w:tab/>
          </w:r>
          <w:r>
            <w:rPr>
              <w:highlight w:val="none"/>
            </w:rPr>
            <w:fldChar w:fldCharType="begin"/>
          </w:r>
          <w:r>
            <w:rPr>
              <w:highlight w:val="none"/>
            </w:rPr>
            <w:instrText xml:space="preserve"> PAGEREF _Toc91488164 \h </w:instrText>
          </w:r>
          <w:r>
            <w:rPr>
              <w:highlight w:val="none"/>
            </w:rPr>
            <w:fldChar w:fldCharType="separate"/>
          </w:r>
          <w:r>
            <w:rPr>
              <w:highlight w:val="none"/>
            </w:rPr>
            <w:t>1</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"_Toc91488165" </w:instrText>
          </w:r>
          <w:r>
            <w:rPr>
              <w:highlight w:val="none"/>
            </w:rPr>
            <w:fldChar w:fldCharType="separate"/>
          </w:r>
          <w:r>
            <w:rPr>
              <w:rStyle w:val="30"/>
              <w:highlight w:val="none"/>
            </w:rPr>
            <w:t>第三节 发展目标</w:t>
          </w:r>
          <w:r>
            <w:rPr>
              <w:highlight w:val="none"/>
            </w:rPr>
            <w:tab/>
          </w:r>
          <w:r>
            <w:rPr>
              <w:highlight w:val="none"/>
            </w:rPr>
            <w:fldChar w:fldCharType="begin"/>
          </w:r>
          <w:r>
            <w:rPr>
              <w:highlight w:val="none"/>
            </w:rPr>
            <w:instrText xml:space="preserve"> PAGEREF _Toc91488165 \h </w:instrText>
          </w:r>
          <w:r>
            <w:rPr>
              <w:highlight w:val="none"/>
            </w:rPr>
            <w:fldChar w:fldCharType="separate"/>
          </w:r>
          <w:r>
            <w:rPr>
              <w:highlight w:val="none"/>
            </w:rPr>
            <w:t>2</w:t>
          </w:r>
          <w:r>
            <w:rPr>
              <w:highlight w:val="none"/>
            </w:rPr>
            <w:fldChar w:fldCharType="end"/>
          </w:r>
          <w:r>
            <w:rPr>
              <w:highlight w:val="none"/>
            </w:rPr>
            <w:fldChar w:fldCharType="end"/>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"_Toc91488166" </w:instrText>
          </w:r>
          <w:r>
            <w:rPr>
              <w:highlight w:val="none"/>
            </w:rPr>
            <w:fldChar w:fldCharType="separate"/>
          </w:r>
          <w:r>
            <w:rPr>
              <w:rStyle w:val="30"/>
              <w:highlight w:val="none"/>
            </w:rPr>
            <w:t>第二章 深入推进协同城镇化 高水平构建新型城镇化空间格局与布局</w:t>
          </w:r>
          <w:r>
            <w:rPr>
              <w:highlight w:val="none"/>
            </w:rPr>
            <w:tab/>
          </w:r>
          <w:r>
            <w:rPr>
              <w:highlight w:val="none"/>
            </w:rPr>
            <w:fldChar w:fldCharType="begin"/>
          </w:r>
          <w:r>
            <w:rPr>
              <w:highlight w:val="none"/>
            </w:rPr>
            <w:instrText xml:space="preserve"> PAGEREF _Toc91488166 \h </w:instrText>
          </w:r>
          <w:r>
            <w:rPr>
              <w:highlight w:val="none"/>
            </w:rPr>
            <w:fldChar w:fldCharType="separate"/>
          </w:r>
          <w:r>
            <w:rPr>
              <w:highlight w:val="none"/>
            </w:rPr>
            <w:t>6</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"_Toc91488167" </w:instrText>
          </w:r>
          <w:r>
            <w:rPr>
              <w:highlight w:val="none"/>
            </w:rPr>
            <w:fldChar w:fldCharType="separate"/>
          </w:r>
          <w:r>
            <w:rPr>
              <w:rStyle w:val="30"/>
              <w:highlight w:val="none"/>
            </w:rPr>
            <w:t>第一节 融入与落实国家和省重大区域发展战略</w:t>
          </w:r>
          <w:r>
            <w:rPr>
              <w:highlight w:val="none"/>
            </w:rPr>
            <w:tab/>
          </w:r>
          <w:r>
            <w:rPr>
              <w:highlight w:val="none"/>
            </w:rPr>
            <w:fldChar w:fldCharType="begin"/>
          </w:r>
          <w:r>
            <w:rPr>
              <w:highlight w:val="none"/>
            </w:rPr>
            <w:instrText xml:space="preserve"> PAGEREF _Toc91488167 \h </w:instrText>
          </w:r>
          <w:r>
            <w:rPr>
              <w:highlight w:val="none"/>
            </w:rPr>
            <w:fldChar w:fldCharType="separate"/>
          </w:r>
          <w:r>
            <w:rPr>
              <w:highlight w:val="none"/>
            </w:rPr>
            <w:t>6</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"_Toc91488168" </w:instrText>
          </w:r>
          <w:r>
            <w:rPr>
              <w:highlight w:val="none"/>
            </w:rPr>
            <w:fldChar w:fldCharType="separate"/>
          </w:r>
          <w:r>
            <w:rPr>
              <w:rStyle w:val="30"/>
              <w:highlight w:val="none"/>
            </w:rPr>
            <w:t>第二节 高水平构建新型城镇化总体格局</w:t>
          </w:r>
          <w:r>
            <w:rPr>
              <w:highlight w:val="none"/>
            </w:rPr>
            <w:tab/>
          </w:r>
          <w:r>
            <w:rPr>
              <w:highlight w:val="none"/>
            </w:rPr>
            <w:fldChar w:fldCharType="begin"/>
          </w:r>
          <w:r>
            <w:rPr>
              <w:highlight w:val="none"/>
            </w:rPr>
            <w:instrText xml:space="preserve"> PAGEREF _Toc91488168 \h </w:instrText>
          </w:r>
          <w:r>
            <w:rPr>
              <w:highlight w:val="none"/>
            </w:rPr>
            <w:fldChar w:fldCharType="separate"/>
          </w:r>
          <w:r>
            <w:rPr>
              <w:highlight w:val="none"/>
            </w:rPr>
            <w:t>7</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"_Toc91488169" </w:instrText>
          </w:r>
          <w:r>
            <w:rPr>
              <w:highlight w:val="none"/>
            </w:rPr>
            <w:fldChar w:fldCharType="separate"/>
          </w:r>
          <w:r>
            <w:rPr>
              <w:rStyle w:val="30"/>
              <w:highlight w:val="none"/>
            </w:rPr>
            <w:t>第三节 发挥烟台中心城区龙头引领作用</w:t>
          </w:r>
          <w:r>
            <w:rPr>
              <w:highlight w:val="none"/>
            </w:rPr>
            <w:tab/>
          </w:r>
          <w:r>
            <w:rPr>
              <w:highlight w:val="none"/>
            </w:rPr>
            <w:fldChar w:fldCharType="begin"/>
          </w:r>
          <w:r>
            <w:rPr>
              <w:highlight w:val="none"/>
            </w:rPr>
            <w:instrText xml:space="preserve"> PAGEREF _Toc91488169 \h </w:instrText>
          </w:r>
          <w:r>
            <w:rPr>
              <w:highlight w:val="none"/>
            </w:rPr>
            <w:fldChar w:fldCharType="separate"/>
          </w:r>
          <w:r>
            <w:rPr>
              <w:highlight w:val="none"/>
            </w:rPr>
            <w:t>9</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"_Toc91488170" </w:instrText>
          </w:r>
          <w:r>
            <w:rPr>
              <w:highlight w:val="none"/>
            </w:rPr>
            <w:fldChar w:fldCharType="separate"/>
          </w:r>
          <w:r>
            <w:rPr>
              <w:rStyle w:val="30"/>
              <w:highlight w:val="none"/>
            </w:rPr>
            <w:t>第四节 加强县城重要载体作用</w:t>
          </w:r>
          <w:r>
            <w:rPr>
              <w:highlight w:val="none"/>
            </w:rPr>
            <w:tab/>
          </w:r>
          <w:r>
            <w:rPr>
              <w:highlight w:val="none"/>
            </w:rPr>
            <w:fldChar w:fldCharType="begin"/>
          </w:r>
          <w:r>
            <w:rPr>
              <w:highlight w:val="none"/>
            </w:rPr>
            <w:instrText xml:space="preserve"> PAGEREF _Toc91488170 \h </w:instrText>
          </w:r>
          <w:r>
            <w:rPr>
              <w:highlight w:val="none"/>
            </w:rPr>
            <w:fldChar w:fldCharType="separate"/>
          </w:r>
          <w:r>
            <w:rPr>
              <w:highlight w:val="none"/>
            </w:rPr>
            <w:t>11</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"_Toc91488171" </w:instrText>
          </w:r>
          <w:r>
            <w:rPr>
              <w:highlight w:val="none"/>
            </w:rPr>
            <w:fldChar w:fldCharType="separate"/>
          </w:r>
          <w:r>
            <w:rPr>
              <w:rStyle w:val="30"/>
              <w:highlight w:val="none"/>
            </w:rPr>
            <w:t>第五节 促进新生小城市与特色小（城）镇健康协调发展</w:t>
          </w:r>
          <w:r>
            <w:rPr>
              <w:highlight w:val="none"/>
            </w:rPr>
            <w:tab/>
          </w:r>
          <w:r>
            <w:rPr>
              <w:highlight w:val="none"/>
            </w:rPr>
            <w:fldChar w:fldCharType="begin"/>
          </w:r>
          <w:r>
            <w:rPr>
              <w:highlight w:val="none"/>
            </w:rPr>
            <w:instrText xml:space="preserve"> PAGEREF _Toc91488171 \h </w:instrText>
          </w:r>
          <w:r>
            <w:rPr>
              <w:highlight w:val="none"/>
            </w:rPr>
            <w:fldChar w:fldCharType="separate"/>
          </w:r>
          <w:r>
            <w:rPr>
              <w:highlight w:val="none"/>
            </w:rPr>
            <w:t>13</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"_Toc91488172" </w:instrText>
          </w:r>
          <w:r>
            <w:rPr>
              <w:highlight w:val="none"/>
            </w:rPr>
            <w:fldChar w:fldCharType="separate"/>
          </w:r>
          <w:r>
            <w:rPr>
              <w:rStyle w:val="30"/>
              <w:highlight w:val="none"/>
            </w:rPr>
            <w:t>第六节 构建高效协同的现代交通体系</w:t>
          </w:r>
          <w:r>
            <w:rPr>
              <w:highlight w:val="none"/>
            </w:rPr>
            <w:tab/>
          </w:r>
          <w:r>
            <w:rPr>
              <w:highlight w:val="none"/>
            </w:rPr>
            <w:fldChar w:fldCharType="begin"/>
          </w:r>
          <w:r>
            <w:rPr>
              <w:highlight w:val="none"/>
            </w:rPr>
            <w:instrText xml:space="preserve"> PAGEREF _Toc91488172 \h </w:instrText>
          </w:r>
          <w:r>
            <w:rPr>
              <w:highlight w:val="none"/>
            </w:rPr>
            <w:fldChar w:fldCharType="separate"/>
          </w:r>
          <w:r>
            <w:rPr>
              <w:highlight w:val="none"/>
            </w:rPr>
            <w:t>15</w:t>
          </w:r>
          <w:r>
            <w:rPr>
              <w:highlight w:val="none"/>
            </w:rPr>
            <w:fldChar w:fldCharType="end"/>
          </w:r>
          <w:r>
            <w:rPr>
              <w:highlight w:val="none"/>
            </w:rPr>
            <w:fldChar w:fldCharType="end"/>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"_Toc91488173" </w:instrText>
          </w:r>
          <w:r>
            <w:rPr>
              <w:highlight w:val="none"/>
            </w:rPr>
            <w:fldChar w:fldCharType="separate"/>
          </w:r>
          <w:r>
            <w:rPr>
              <w:rStyle w:val="30"/>
              <w:highlight w:val="none"/>
            </w:rPr>
            <w:t>第三章 深入推进绿色城镇化 高品质打造以人民为中心的未来城市</w:t>
          </w:r>
          <w:r>
            <w:rPr>
              <w:highlight w:val="none"/>
            </w:rPr>
            <w:tab/>
          </w:r>
          <w:r>
            <w:rPr>
              <w:highlight w:val="none"/>
            </w:rPr>
            <w:fldChar w:fldCharType="begin"/>
          </w:r>
          <w:r>
            <w:rPr>
              <w:highlight w:val="none"/>
            </w:rPr>
            <w:instrText xml:space="preserve"> PAGEREF _Toc91488173 \h </w:instrText>
          </w:r>
          <w:r>
            <w:rPr>
              <w:highlight w:val="none"/>
            </w:rPr>
            <w:fldChar w:fldCharType="separate"/>
          </w:r>
          <w:r>
            <w:rPr>
              <w:highlight w:val="none"/>
            </w:rPr>
            <w:t>18</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"_Toc91488174" </w:instrText>
          </w:r>
          <w:r>
            <w:rPr>
              <w:highlight w:val="none"/>
            </w:rPr>
            <w:fldChar w:fldCharType="separate"/>
          </w:r>
          <w:r>
            <w:rPr>
              <w:rStyle w:val="30"/>
              <w:highlight w:val="none"/>
            </w:rPr>
            <w:t>第一节 创建碳中和“先锋城市”</w:t>
          </w:r>
          <w:r>
            <w:rPr>
              <w:highlight w:val="none"/>
            </w:rPr>
            <w:tab/>
          </w:r>
          <w:r>
            <w:rPr>
              <w:highlight w:val="none"/>
            </w:rPr>
            <w:fldChar w:fldCharType="begin"/>
          </w:r>
          <w:r>
            <w:rPr>
              <w:highlight w:val="none"/>
            </w:rPr>
            <w:instrText xml:space="preserve"> PAGEREF _Toc91488174 \h </w:instrText>
          </w:r>
          <w:r>
            <w:rPr>
              <w:highlight w:val="none"/>
            </w:rPr>
            <w:fldChar w:fldCharType="separate"/>
          </w:r>
          <w:r>
            <w:rPr>
              <w:highlight w:val="none"/>
            </w:rPr>
            <w:t>18</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"_Toc91488175" </w:instrText>
          </w:r>
          <w:r>
            <w:rPr>
              <w:highlight w:val="none"/>
            </w:rPr>
            <w:fldChar w:fldCharType="separate"/>
          </w:r>
          <w:r>
            <w:rPr>
              <w:rStyle w:val="30"/>
              <w:highlight w:val="none"/>
            </w:rPr>
            <w:t>第二节 建设美丽和谐生态城市</w:t>
          </w:r>
          <w:r>
            <w:rPr>
              <w:highlight w:val="none"/>
            </w:rPr>
            <w:tab/>
          </w:r>
          <w:r>
            <w:rPr>
              <w:highlight w:val="none"/>
            </w:rPr>
            <w:fldChar w:fldCharType="begin"/>
          </w:r>
          <w:r>
            <w:rPr>
              <w:highlight w:val="none"/>
            </w:rPr>
            <w:instrText xml:space="preserve"> PAGEREF _Toc91488175 \h </w:instrText>
          </w:r>
          <w:r>
            <w:rPr>
              <w:highlight w:val="none"/>
            </w:rPr>
            <w:fldChar w:fldCharType="separate"/>
          </w:r>
          <w:r>
            <w:rPr>
              <w:highlight w:val="none"/>
            </w:rPr>
            <w:t>21</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"_Toc91488176" </w:instrText>
          </w:r>
          <w:r>
            <w:rPr>
              <w:highlight w:val="none"/>
            </w:rPr>
            <w:fldChar w:fldCharType="separate"/>
          </w:r>
          <w:r>
            <w:rPr>
              <w:rStyle w:val="30"/>
              <w:highlight w:val="none"/>
            </w:rPr>
            <w:t>第三节 打造共建共享宜居城市</w:t>
          </w:r>
          <w:r>
            <w:rPr>
              <w:highlight w:val="none"/>
            </w:rPr>
            <w:tab/>
          </w:r>
          <w:r>
            <w:rPr>
              <w:highlight w:val="none"/>
            </w:rPr>
            <w:fldChar w:fldCharType="begin"/>
          </w:r>
          <w:r>
            <w:rPr>
              <w:highlight w:val="none"/>
            </w:rPr>
            <w:instrText xml:space="preserve"> PAGEREF _Toc91488176 \h </w:instrText>
          </w:r>
          <w:r>
            <w:rPr>
              <w:highlight w:val="none"/>
            </w:rPr>
            <w:fldChar w:fldCharType="separate"/>
          </w:r>
          <w:r>
            <w:rPr>
              <w:highlight w:val="none"/>
            </w:rPr>
            <w:t>23</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"_Toc91488177" </w:instrText>
          </w:r>
          <w:r>
            <w:rPr>
              <w:highlight w:val="none"/>
            </w:rPr>
            <w:fldChar w:fldCharType="separate"/>
          </w:r>
          <w:r>
            <w:rPr>
              <w:rStyle w:val="30"/>
              <w:highlight w:val="none"/>
            </w:rPr>
            <w:t>第四节 塑造魅力多彩人文城市</w:t>
          </w:r>
          <w:r>
            <w:rPr>
              <w:highlight w:val="none"/>
            </w:rPr>
            <w:tab/>
          </w:r>
          <w:r>
            <w:rPr>
              <w:highlight w:val="none"/>
            </w:rPr>
            <w:fldChar w:fldCharType="begin"/>
          </w:r>
          <w:r>
            <w:rPr>
              <w:highlight w:val="none"/>
            </w:rPr>
            <w:instrText xml:space="preserve"> PAGEREF _Toc91488177 \h </w:instrText>
          </w:r>
          <w:r>
            <w:rPr>
              <w:highlight w:val="none"/>
            </w:rPr>
            <w:fldChar w:fldCharType="separate"/>
          </w:r>
          <w:r>
            <w:rPr>
              <w:highlight w:val="none"/>
            </w:rPr>
            <w:t>25</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"_Toc91488178" </w:instrText>
          </w:r>
          <w:r>
            <w:rPr>
              <w:highlight w:val="none"/>
            </w:rPr>
            <w:fldChar w:fldCharType="separate"/>
          </w:r>
          <w:r>
            <w:rPr>
              <w:rStyle w:val="30"/>
              <w:highlight w:val="none"/>
            </w:rPr>
            <w:t>第五节 构筑安全灵敏韧性城市</w:t>
          </w:r>
          <w:r>
            <w:rPr>
              <w:highlight w:val="none"/>
            </w:rPr>
            <w:tab/>
          </w:r>
          <w:r>
            <w:rPr>
              <w:highlight w:val="none"/>
            </w:rPr>
            <w:fldChar w:fldCharType="begin"/>
          </w:r>
          <w:r>
            <w:rPr>
              <w:highlight w:val="none"/>
            </w:rPr>
            <w:instrText xml:space="preserve"> PAGEREF _Toc91488178 \h </w:instrText>
          </w:r>
          <w:r>
            <w:rPr>
              <w:highlight w:val="none"/>
            </w:rPr>
            <w:fldChar w:fldCharType="separate"/>
          </w:r>
          <w:r>
            <w:rPr>
              <w:highlight w:val="none"/>
            </w:rPr>
            <w:t>27</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"_Toc91488179" </w:instrText>
          </w:r>
          <w:r>
            <w:rPr>
              <w:highlight w:val="none"/>
            </w:rPr>
            <w:fldChar w:fldCharType="separate"/>
          </w:r>
          <w:r>
            <w:rPr>
              <w:rStyle w:val="30"/>
              <w:highlight w:val="none"/>
            </w:rPr>
            <w:t>第六节 提高城市统筹规划水平</w:t>
          </w:r>
          <w:r>
            <w:rPr>
              <w:highlight w:val="none"/>
            </w:rPr>
            <w:tab/>
          </w:r>
          <w:r>
            <w:rPr>
              <w:highlight w:val="none"/>
            </w:rPr>
            <w:fldChar w:fldCharType="begin"/>
          </w:r>
          <w:r>
            <w:rPr>
              <w:highlight w:val="none"/>
            </w:rPr>
            <w:instrText xml:space="preserve"> PAGEREF _Toc91488179 \h </w:instrText>
          </w:r>
          <w:r>
            <w:rPr>
              <w:highlight w:val="none"/>
            </w:rPr>
            <w:fldChar w:fldCharType="separate"/>
          </w:r>
          <w:r>
            <w:rPr>
              <w:highlight w:val="none"/>
            </w:rPr>
            <w:t>29</w:t>
          </w:r>
          <w:r>
            <w:rPr>
              <w:highlight w:val="none"/>
            </w:rPr>
            <w:fldChar w:fldCharType="end"/>
          </w:r>
          <w:r>
            <w:rPr>
              <w:highlight w:val="none"/>
            </w:rPr>
            <w:fldChar w:fldCharType="end"/>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"_Toc91488180" </w:instrText>
          </w:r>
          <w:r>
            <w:rPr>
              <w:highlight w:val="none"/>
            </w:rPr>
            <w:fldChar w:fldCharType="separate"/>
          </w:r>
          <w:r>
            <w:rPr>
              <w:rStyle w:val="30"/>
              <w:highlight w:val="none"/>
            </w:rPr>
            <w:t>第四章 推进双向城镇化 高层次推动城乡融合发展</w:t>
          </w:r>
          <w:r>
            <w:rPr>
              <w:highlight w:val="none"/>
            </w:rPr>
            <w:tab/>
          </w:r>
          <w:r>
            <w:rPr>
              <w:highlight w:val="none"/>
            </w:rPr>
            <w:fldChar w:fldCharType="begin"/>
          </w:r>
          <w:r>
            <w:rPr>
              <w:highlight w:val="none"/>
            </w:rPr>
            <w:instrText xml:space="preserve"> PAGEREF _Toc91488180 \h </w:instrText>
          </w:r>
          <w:r>
            <w:rPr>
              <w:highlight w:val="none"/>
            </w:rPr>
            <w:fldChar w:fldCharType="separate"/>
          </w:r>
          <w:r>
            <w:rPr>
              <w:highlight w:val="none"/>
            </w:rPr>
            <w:t>30</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"_Toc91488181" </w:instrText>
          </w:r>
          <w:r>
            <w:rPr>
              <w:highlight w:val="none"/>
            </w:rPr>
            <w:fldChar w:fldCharType="separate"/>
          </w:r>
          <w:r>
            <w:rPr>
              <w:rStyle w:val="30"/>
              <w:highlight w:val="none"/>
            </w:rPr>
            <w:t>第一节 加大全方位的人口集聚力度</w:t>
          </w:r>
          <w:r>
            <w:rPr>
              <w:highlight w:val="none"/>
            </w:rPr>
            <w:tab/>
          </w:r>
          <w:r>
            <w:rPr>
              <w:highlight w:val="none"/>
            </w:rPr>
            <w:fldChar w:fldCharType="begin"/>
          </w:r>
          <w:r>
            <w:rPr>
              <w:highlight w:val="none"/>
            </w:rPr>
            <w:instrText xml:space="preserve"> PAGEREF _Toc91488181 \h </w:instrText>
          </w:r>
          <w:r>
            <w:rPr>
              <w:highlight w:val="none"/>
            </w:rPr>
            <w:fldChar w:fldCharType="separate"/>
          </w:r>
          <w:r>
            <w:rPr>
              <w:highlight w:val="none"/>
            </w:rPr>
            <w:t>30</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"_Toc91488182" </w:instrText>
          </w:r>
          <w:r>
            <w:rPr>
              <w:highlight w:val="none"/>
            </w:rPr>
            <w:fldChar w:fldCharType="separate"/>
          </w:r>
          <w:r>
            <w:rPr>
              <w:rStyle w:val="30"/>
              <w:highlight w:val="none"/>
            </w:rPr>
            <w:t>第二节 加快非户籍常住人口全面融入城市</w:t>
          </w:r>
          <w:r>
            <w:rPr>
              <w:highlight w:val="none"/>
            </w:rPr>
            <w:tab/>
          </w:r>
          <w:r>
            <w:rPr>
              <w:highlight w:val="none"/>
            </w:rPr>
            <w:fldChar w:fldCharType="begin"/>
          </w:r>
          <w:r>
            <w:rPr>
              <w:highlight w:val="none"/>
            </w:rPr>
            <w:instrText xml:space="preserve"> PAGEREF _Toc91488182 \h </w:instrText>
          </w:r>
          <w:r>
            <w:rPr>
              <w:highlight w:val="none"/>
            </w:rPr>
            <w:fldChar w:fldCharType="separate"/>
          </w:r>
          <w:r>
            <w:rPr>
              <w:highlight w:val="none"/>
            </w:rPr>
            <w:t>32</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"_Toc91488183" </w:instrText>
          </w:r>
          <w:r>
            <w:rPr>
              <w:highlight w:val="none"/>
            </w:rPr>
            <w:fldChar w:fldCharType="separate"/>
          </w:r>
          <w:r>
            <w:rPr>
              <w:rStyle w:val="30"/>
              <w:highlight w:val="none"/>
            </w:rPr>
            <w:t>第三节 引导城乡要素双向自由流动</w:t>
          </w:r>
          <w:r>
            <w:rPr>
              <w:highlight w:val="none"/>
            </w:rPr>
            <w:tab/>
          </w:r>
          <w:r>
            <w:rPr>
              <w:highlight w:val="none"/>
            </w:rPr>
            <w:fldChar w:fldCharType="begin"/>
          </w:r>
          <w:r>
            <w:rPr>
              <w:highlight w:val="none"/>
            </w:rPr>
            <w:instrText xml:space="preserve"> PAGEREF _Toc91488183 \h </w:instrText>
          </w:r>
          <w:r>
            <w:rPr>
              <w:highlight w:val="none"/>
            </w:rPr>
            <w:fldChar w:fldCharType="separate"/>
          </w:r>
          <w:r>
            <w:rPr>
              <w:highlight w:val="none"/>
            </w:rPr>
            <w:t>34</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"_Toc91488184" </w:instrText>
          </w:r>
          <w:r>
            <w:rPr>
              <w:highlight w:val="none"/>
            </w:rPr>
            <w:fldChar w:fldCharType="separate"/>
          </w:r>
          <w:r>
            <w:rPr>
              <w:rStyle w:val="30"/>
              <w:highlight w:val="none"/>
            </w:rPr>
            <w:t>第四节 推进城乡优质资源普惠共享</w:t>
          </w:r>
          <w:r>
            <w:rPr>
              <w:highlight w:val="none"/>
            </w:rPr>
            <w:tab/>
          </w:r>
          <w:r>
            <w:rPr>
              <w:highlight w:val="none"/>
            </w:rPr>
            <w:fldChar w:fldCharType="begin"/>
          </w:r>
          <w:r>
            <w:rPr>
              <w:highlight w:val="none"/>
            </w:rPr>
            <w:instrText xml:space="preserve"> PAGEREF _Toc91488184 \h </w:instrText>
          </w:r>
          <w:r>
            <w:rPr>
              <w:highlight w:val="none"/>
            </w:rPr>
            <w:fldChar w:fldCharType="separate"/>
          </w:r>
          <w:r>
            <w:rPr>
              <w:highlight w:val="none"/>
            </w:rPr>
            <w:t>37</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"_Toc91488185" </w:instrText>
          </w:r>
          <w:r>
            <w:rPr>
              <w:highlight w:val="none"/>
            </w:rPr>
            <w:fldChar w:fldCharType="separate"/>
          </w:r>
          <w:r>
            <w:rPr>
              <w:rStyle w:val="30"/>
              <w:highlight w:val="none"/>
            </w:rPr>
            <w:t>第五节 推动城乡产业多元化发展</w:t>
          </w:r>
          <w:r>
            <w:rPr>
              <w:highlight w:val="none"/>
            </w:rPr>
            <w:tab/>
          </w:r>
          <w:r>
            <w:rPr>
              <w:highlight w:val="none"/>
            </w:rPr>
            <w:fldChar w:fldCharType="begin"/>
          </w:r>
          <w:r>
            <w:rPr>
              <w:highlight w:val="none"/>
            </w:rPr>
            <w:instrText xml:space="preserve"> PAGEREF _Toc91488185 \h </w:instrText>
          </w:r>
          <w:r>
            <w:rPr>
              <w:highlight w:val="none"/>
            </w:rPr>
            <w:fldChar w:fldCharType="separate"/>
          </w:r>
          <w:r>
            <w:rPr>
              <w:highlight w:val="none"/>
            </w:rPr>
            <w:t>40</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"_Toc91488186" </w:instrText>
          </w:r>
          <w:r>
            <w:rPr>
              <w:highlight w:val="none"/>
            </w:rPr>
            <w:fldChar w:fldCharType="separate"/>
          </w:r>
          <w:r>
            <w:rPr>
              <w:rStyle w:val="30"/>
              <w:highlight w:val="none"/>
            </w:rPr>
            <w:t>第六节 促进城乡居民共同富裕</w:t>
          </w:r>
          <w:r>
            <w:rPr>
              <w:highlight w:val="none"/>
            </w:rPr>
            <w:tab/>
          </w:r>
          <w:r>
            <w:rPr>
              <w:highlight w:val="none"/>
            </w:rPr>
            <w:fldChar w:fldCharType="begin"/>
          </w:r>
          <w:r>
            <w:rPr>
              <w:highlight w:val="none"/>
            </w:rPr>
            <w:instrText xml:space="preserve"> PAGEREF _Toc91488186 \h </w:instrText>
          </w:r>
          <w:r>
            <w:rPr>
              <w:highlight w:val="none"/>
            </w:rPr>
            <w:fldChar w:fldCharType="separate"/>
          </w:r>
          <w:r>
            <w:rPr>
              <w:highlight w:val="none"/>
            </w:rPr>
            <w:t>42</w:t>
          </w:r>
          <w:r>
            <w:rPr>
              <w:highlight w:val="none"/>
            </w:rPr>
            <w:fldChar w:fldCharType="end"/>
          </w:r>
          <w:r>
            <w:rPr>
              <w:highlight w:val="none"/>
            </w:rPr>
            <w:fldChar w:fldCharType="end"/>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"_Toc91488187" </w:instrText>
          </w:r>
          <w:r>
            <w:rPr>
              <w:highlight w:val="none"/>
            </w:rPr>
            <w:fldChar w:fldCharType="separate"/>
          </w:r>
          <w:r>
            <w:rPr>
              <w:rStyle w:val="30"/>
              <w:highlight w:val="none"/>
            </w:rPr>
            <w:t>第五章 推进创新城镇化 高效能推进产业与治理现代化</w:t>
          </w:r>
          <w:r>
            <w:rPr>
              <w:highlight w:val="none"/>
            </w:rPr>
            <w:tab/>
          </w:r>
          <w:r>
            <w:rPr>
              <w:highlight w:val="none"/>
            </w:rPr>
            <w:fldChar w:fldCharType="begin"/>
          </w:r>
          <w:r>
            <w:rPr>
              <w:highlight w:val="none"/>
            </w:rPr>
            <w:instrText xml:space="preserve"> PAGEREF _Toc91488187 \h </w:instrText>
          </w:r>
          <w:r>
            <w:rPr>
              <w:highlight w:val="none"/>
            </w:rPr>
            <w:fldChar w:fldCharType="separate"/>
          </w:r>
          <w:r>
            <w:rPr>
              <w:highlight w:val="none"/>
            </w:rPr>
            <w:t>46</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"_Toc91488188" </w:instrText>
          </w:r>
          <w:r>
            <w:rPr>
              <w:highlight w:val="none"/>
            </w:rPr>
            <w:fldChar w:fldCharType="separate"/>
          </w:r>
          <w:r>
            <w:rPr>
              <w:rStyle w:val="30"/>
              <w:highlight w:val="none"/>
            </w:rPr>
            <w:t>第一节 强化科技创新驱动引领</w:t>
          </w:r>
          <w:r>
            <w:rPr>
              <w:highlight w:val="none"/>
            </w:rPr>
            <w:tab/>
          </w:r>
          <w:r>
            <w:rPr>
              <w:highlight w:val="none"/>
            </w:rPr>
            <w:fldChar w:fldCharType="begin"/>
          </w:r>
          <w:r>
            <w:rPr>
              <w:highlight w:val="none"/>
            </w:rPr>
            <w:instrText xml:space="preserve"> PAGEREF _Toc91488188 \h </w:instrText>
          </w:r>
          <w:r>
            <w:rPr>
              <w:highlight w:val="none"/>
            </w:rPr>
            <w:fldChar w:fldCharType="separate"/>
          </w:r>
          <w:r>
            <w:rPr>
              <w:highlight w:val="none"/>
            </w:rPr>
            <w:t>46</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"_Toc91488189" </w:instrText>
          </w:r>
          <w:r>
            <w:rPr>
              <w:highlight w:val="none"/>
            </w:rPr>
            <w:fldChar w:fldCharType="separate"/>
          </w:r>
          <w:r>
            <w:rPr>
              <w:rStyle w:val="30"/>
              <w:highlight w:val="none"/>
            </w:rPr>
            <w:t>第二节 构建高质量发展产业体系</w:t>
          </w:r>
          <w:r>
            <w:rPr>
              <w:highlight w:val="none"/>
            </w:rPr>
            <w:tab/>
          </w:r>
          <w:r>
            <w:rPr>
              <w:highlight w:val="none"/>
            </w:rPr>
            <w:fldChar w:fldCharType="begin"/>
          </w:r>
          <w:r>
            <w:rPr>
              <w:highlight w:val="none"/>
            </w:rPr>
            <w:instrText xml:space="preserve"> PAGEREF _Toc91488189 \h </w:instrText>
          </w:r>
          <w:r>
            <w:rPr>
              <w:highlight w:val="none"/>
            </w:rPr>
            <w:fldChar w:fldCharType="separate"/>
          </w:r>
          <w:r>
            <w:rPr>
              <w:highlight w:val="none"/>
            </w:rPr>
            <w:t>48</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"_Toc91488190" </w:instrText>
          </w:r>
          <w:r>
            <w:rPr>
              <w:highlight w:val="none"/>
            </w:rPr>
            <w:fldChar w:fldCharType="separate"/>
          </w:r>
          <w:r>
            <w:rPr>
              <w:rStyle w:val="30"/>
              <w:highlight w:val="none"/>
            </w:rPr>
            <w:t>第三节 优化全域高效产业空间</w:t>
          </w:r>
          <w:r>
            <w:rPr>
              <w:highlight w:val="none"/>
            </w:rPr>
            <w:tab/>
          </w:r>
          <w:r>
            <w:rPr>
              <w:highlight w:val="none"/>
            </w:rPr>
            <w:fldChar w:fldCharType="begin"/>
          </w:r>
          <w:r>
            <w:rPr>
              <w:highlight w:val="none"/>
            </w:rPr>
            <w:instrText xml:space="preserve"> PAGEREF _Toc91488190 \h </w:instrText>
          </w:r>
          <w:r>
            <w:rPr>
              <w:highlight w:val="none"/>
            </w:rPr>
            <w:fldChar w:fldCharType="separate"/>
          </w:r>
          <w:r>
            <w:rPr>
              <w:highlight w:val="none"/>
            </w:rPr>
            <w:t>51</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"_Toc91488191" </w:instrText>
          </w:r>
          <w:r>
            <w:rPr>
              <w:highlight w:val="none"/>
            </w:rPr>
            <w:fldChar w:fldCharType="separate"/>
          </w:r>
          <w:r>
            <w:rPr>
              <w:rStyle w:val="30"/>
              <w:highlight w:val="none"/>
            </w:rPr>
            <w:t>第四节 建设数字泛联智慧生态</w:t>
          </w:r>
          <w:r>
            <w:rPr>
              <w:highlight w:val="none"/>
            </w:rPr>
            <w:tab/>
          </w:r>
          <w:r>
            <w:rPr>
              <w:highlight w:val="none"/>
            </w:rPr>
            <w:fldChar w:fldCharType="begin"/>
          </w:r>
          <w:r>
            <w:rPr>
              <w:highlight w:val="none"/>
            </w:rPr>
            <w:instrText xml:space="preserve"> PAGEREF _Toc91488191 \h </w:instrText>
          </w:r>
          <w:r>
            <w:rPr>
              <w:highlight w:val="none"/>
            </w:rPr>
            <w:fldChar w:fldCharType="separate"/>
          </w:r>
          <w:r>
            <w:rPr>
              <w:highlight w:val="none"/>
            </w:rPr>
            <w:t>52</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"_Toc91488192" </w:instrText>
          </w:r>
          <w:r>
            <w:rPr>
              <w:highlight w:val="none"/>
            </w:rPr>
            <w:fldChar w:fldCharType="separate"/>
          </w:r>
          <w:r>
            <w:rPr>
              <w:rStyle w:val="30"/>
              <w:highlight w:val="none"/>
            </w:rPr>
            <w:t>第五节 打造整体智治数字政府</w:t>
          </w:r>
          <w:r>
            <w:rPr>
              <w:highlight w:val="none"/>
            </w:rPr>
            <w:tab/>
          </w:r>
          <w:r>
            <w:rPr>
              <w:highlight w:val="none"/>
            </w:rPr>
            <w:fldChar w:fldCharType="begin"/>
          </w:r>
          <w:r>
            <w:rPr>
              <w:highlight w:val="none"/>
            </w:rPr>
            <w:instrText xml:space="preserve"> PAGEREF _Toc91488192 \h </w:instrText>
          </w:r>
          <w:r>
            <w:rPr>
              <w:highlight w:val="none"/>
            </w:rPr>
            <w:fldChar w:fldCharType="separate"/>
          </w:r>
          <w:r>
            <w:rPr>
              <w:highlight w:val="none"/>
            </w:rPr>
            <w:t>54</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"_Toc91488193" </w:instrText>
          </w:r>
          <w:r>
            <w:rPr>
              <w:highlight w:val="none"/>
            </w:rPr>
            <w:fldChar w:fldCharType="separate"/>
          </w:r>
          <w:r>
            <w:rPr>
              <w:rStyle w:val="30"/>
              <w:highlight w:val="none"/>
            </w:rPr>
            <w:t>第六节 创新基层社会治理模式</w:t>
          </w:r>
          <w:r>
            <w:rPr>
              <w:highlight w:val="none"/>
            </w:rPr>
            <w:tab/>
          </w:r>
          <w:r>
            <w:rPr>
              <w:highlight w:val="none"/>
            </w:rPr>
            <w:fldChar w:fldCharType="begin"/>
          </w:r>
          <w:r>
            <w:rPr>
              <w:highlight w:val="none"/>
            </w:rPr>
            <w:instrText xml:space="preserve"> PAGEREF _Toc91488193 \h </w:instrText>
          </w:r>
          <w:r>
            <w:rPr>
              <w:highlight w:val="none"/>
            </w:rPr>
            <w:fldChar w:fldCharType="separate"/>
          </w:r>
          <w:r>
            <w:rPr>
              <w:highlight w:val="none"/>
            </w:rPr>
            <w:t>55</w:t>
          </w:r>
          <w:r>
            <w:rPr>
              <w:highlight w:val="none"/>
            </w:rPr>
            <w:fldChar w:fldCharType="end"/>
          </w:r>
          <w:r>
            <w:rPr>
              <w:highlight w:val="none"/>
            </w:rPr>
            <w:fldChar w:fldCharType="end"/>
          </w:r>
        </w:p>
        <w:p>
          <w:pPr>
            <w:pStyle w:val="17"/>
            <w:rPr>
              <w:rFonts w:asciiTheme="minorHAnsi" w:hAnsiTheme="minorHAnsi" w:eastAsiaTheme="minorEastAsia" w:cstheme="minorBidi"/>
              <w:bCs w:val="0"/>
              <w:kern w:val="2"/>
              <w:sz w:val="21"/>
              <w:szCs w:val="22"/>
              <w:highlight w:val="none"/>
            </w:rPr>
          </w:pPr>
          <w:r>
            <w:rPr>
              <w:highlight w:val="none"/>
            </w:rPr>
            <w:fldChar w:fldCharType="begin"/>
          </w:r>
          <w:r>
            <w:rPr>
              <w:highlight w:val="none"/>
            </w:rPr>
            <w:instrText xml:space="preserve"> HYPERLINK \l "_Toc91488194" </w:instrText>
          </w:r>
          <w:r>
            <w:rPr>
              <w:highlight w:val="none"/>
            </w:rPr>
            <w:fldChar w:fldCharType="separate"/>
          </w:r>
          <w:r>
            <w:rPr>
              <w:rStyle w:val="30"/>
              <w:highlight w:val="none"/>
            </w:rPr>
            <w:t>第六章 实施保障</w:t>
          </w:r>
          <w:r>
            <w:rPr>
              <w:highlight w:val="none"/>
            </w:rPr>
            <w:tab/>
          </w:r>
          <w:r>
            <w:rPr>
              <w:highlight w:val="none"/>
            </w:rPr>
            <w:fldChar w:fldCharType="begin"/>
          </w:r>
          <w:r>
            <w:rPr>
              <w:highlight w:val="none"/>
            </w:rPr>
            <w:instrText xml:space="preserve"> PAGEREF _Toc91488194 \h </w:instrText>
          </w:r>
          <w:r>
            <w:rPr>
              <w:highlight w:val="none"/>
            </w:rPr>
            <w:fldChar w:fldCharType="separate"/>
          </w:r>
          <w:r>
            <w:rPr>
              <w:highlight w:val="none"/>
            </w:rPr>
            <w:t>58</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"_Toc91488195" </w:instrText>
          </w:r>
          <w:r>
            <w:rPr>
              <w:highlight w:val="none"/>
            </w:rPr>
            <w:fldChar w:fldCharType="separate"/>
          </w:r>
          <w:r>
            <w:rPr>
              <w:rStyle w:val="30"/>
              <w:highlight w:val="none"/>
            </w:rPr>
            <w:t>第一节 加强组织领导</w:t>
          </w:r>
          <w:r>
            <w:rPr>
              <w:highlight w:val="none"/>
            </w:rPr>
            <w:tab/>
          </w:r>
          <w:r>
            <w:rPr>
              <w:highlight w:val="none"/>
            </w:rPr>
            <w:fldChar w:fldCharType="begin"/>
          </w:r>
          <w:r>
            <w:rPr>
              <w:highlight w:val="none"/>
            </w:rPr>
            <w:instrText xml:space="preserve"> PAGEREF _Toc91488195 \h </w:instrText>
          </w:r>
          <w:r>
            <w:rPr>
              <w:highlight w:val="none"/>
            </w:rPr>
            <w:fldChar w:fldCharType="separate"/>
          </w:r>
          <w:r>
            <w:rPr>
              <w:highlight w:val="none"/>
            </w:rPr>
            <w:t>58</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"_Toc91488196" </w:instrText>
          </w:r>
          <w:r>
            <w:rPr>
              <w:highlight w:val="none"/>
            </w:rPr>
            <w:fldChar w:fldCharType="separate"/>
          </w:r>
          <w:r>
            <w:rPr>
              <w:rStyle w:val="30"/>
              <w:highlight w:val="none"/>
            </w:rPr>
            <w:t>第二节 完善政策配套</w:t>
          </w:r>
          <w:r>
            <w:rPr>
              <w:highlight w:val="none"/>
            </w:rPr>
            <w:tab/>
          </w:r>
          <w:r>
            <w:rPr>
              <w:highlight w:val="none"/>
            </w:rPr>
            <w:fldChar w:fldCharType="begin"/>
          </w:r>
          <w:r>
            <w:rPr>
              <w:highlight w:val="none"/>
            </w:rPr>
            <w:instrText xml:space="preserve"> PAGEREF _Toc91488196 \h </w:instrText>
          </w:r>
          <w:r>
            <w:rPr>
              <w:highlight w:val="none"/>
            </w:rPr>
            <w:fldChar w:fldCharType="separate"/>
          </w:r>
          <w:r>
            <w:rPr>
              <w:highlight w:val="none"/>
            </w:rPr>
            <w:t>58</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"_Toc91488197" </w:instrText>
          </w:r>
          <w:r>
            <w:rPr>
              <w:highlight w:val="none"/>
            </w:rPr>
            <w:fldChar w:fldCharType="separate"/>
          </w:r>
          <w:r>
            <w:rPr>
              <w:rStyle w:val="30"/>
              <w:highlight w:val="none"/>
            </w:rPr>
            <w:t>第三节 加强试点示范</w:t>
          </w:r>
          <w:r>
            <w:rPr>
              <w:highlight w:val="none"/>
            </w:rPr>
            <w:tab/>
          </w:r>
          <w:r>
            <w:rPr>
              <w:highlight w:val="none"/>
            </w:rPr>
            <w:fldChar w:fldCharType="begin"/>
          </w:r>
          <w:r>
            <w:rPr>
              <w:highlight w:val="none"/>
            </w:rPr>
            <w:instrText xml:space="preserve"> PAGEREF _Toc91488197 \h </w:instrText>
          </w:r>
          <w:r>
            <w:rPr>
              <w:highlight w:val="none"/>
            </w:rPr>
            <w:fldChar w:fldCharType="separate"/>
          </w:r>
          <w:r>
            <w:rPr>
              <w:highlight w:val="none"/>
            </w:rPr>
            <w:t>59</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"_Toc91488198" </w:instrText>
          </w:r>
          <w:r>
            <w:rPr>
              <w:highlight w:val="none"/>
            </w:rPr>
            <w:fldChar w:fldCharType="separate"/>
          </w:r>
          <w:r>
            <w:rPr>
              <w:rStyle w:val="30"/>
              <w:highlight w:val="none"/>
            </w:rPr>
            <w:t>第四节 完善监测督导</w:t>
          </w:r>
          <w:r>
            <w:rPr>
              <w:highlight w:val="none"/>
            </w:rPr>
            <w:tab/>
          </w:r>
          <w:r>
            <w:rPr>
              <w:highlight w:val="none"/>
            </w:rPr>
            <w:fldChar w:fldCharType="begin"/>
          </w:r>
          <w:r>
            <w:rPr>
              <w:highlight w:val="none"/>
            </w:rPr>
            <w:instrText xml:space="preserve"> PAGEREF _Toc91488198 \h </w:instrText>
          </w:r>
          <w:r>
            <w:rPr>
              <w:highlight w:val="none"/>
            </w:rPr>
            <w:fldChar w:fldCharType="separate"/>
          </w:r>
          <w:r>
            <w:rPr>
              <w:highlight w:val="none"/>
            </w:rPr>
            <w:t>59</w:t>
          </w:r>
          <w:r>
            <w:rPr>
              <w:highlight w:val="none"/>
            </w:rPr>
            <w:fldChar w:fldCharType="end"/>
          </w:r>
          <w:r>
            <w:rPr>
              <w:highlight w:val="none"/>
            </w:rPr>
            <w:fldChar w:fldCharType="end"/>
          </w:r>
        </w:p>
        <w:p>
          <w:pPr>
            <w:pStyle w:val="21"/>
            <w:rPr>
              <w:rFonts w:asciiTheme="minorHAnsi" w:hAnsiTheme="minorHAnsi" w:eastAsiaTheme="minorEastAsia"/>
              <w:sz w:val="21"/>
              <w:highlight w:val="none"/>
            </w:rPr>
          </w:pPr>
          <w:r>
            <w:rPr>
              <w:highlight w:val="none"/>
            </w:rPr>
            <w:fldChar w:fldCharType="begin"/>
          </w:r>
          <w:r>
            <w:rPr>
              <w:highlight w:val="none"/>
            </w:rPr>
            <w:instrText xml:space="preserve"> HYPERLINK \l "_Toc91488199" </w:instrText>
          </w:r>
          <w:r>
            <w:rPr>
              <w:highlight w:val="none"/>
            </w:rPr>
            <w:fldChar w:fldCharType="separate"/>
          </w:r>
          <w:r>
            <w:rPr>
              <w:rStyle w:val="30"/>
              <w:highlight w:val="none"/>
            </w:rPr>
            <w:t>第五节 制定行动计划</w:t>
          </w:r>
          <w:r>
            <w:rPr>
              <w:highlight w:val="none"/>
            </w:rPr>
            <w:tab/>
          </w:r>
          <w:r>
            <w:rPr>
              <w:highlight w:val="none"/>
            </w:rPr>
            <w:fldChar w:fldCharType="begin"/>
          </w:r>
          <w:r>
            <w:rPr>
              <w:highlight w:val="none"/>
            </w:rPr>
            <w:instrText xml:space="preserve"> PAGEREF _Toc91488199 \h </w:instrText>
          </w:r>
          <w:r>
            <w:rPr>
              <w:highlight w:val="none"/>
            </w:rPr>
            <w:fldChar w:fldCharType="separate"/>
          </w:r>
          <w:r>
            <w:rPr>
              <w:highlight w:val="none"/>
            </w:rPr>
            <w:t>60</w:t>
          </w:r>
          <w:r>
            <w:rPr>
              <w:highlight w:val="none"/>
            </w:rPr>
            <w:fldChar w:fldCharType="end"/>
          </w:r>
          <w:r>
            <w:rPr>
              <w:highlight w:val="none"/>
            </w:rPr>
            <w:fldChar w:fldCharType="end"/>
          </w:r>
        </w:p>
        <w:p>
          <w:pPr>
            <w:pStyle w:val="2"/>
            <w:jc w:val="both"/>
            <w:rPr>
              <w:highlight w:val="none"/>
              <w:lang w:val="zh-CN"/>
            </w:rPr>
            <w:sectPr>
              <w:footerReference r:id="rId7" w:type="default"/>
              <w:type w:val="continuous"/>
              <w:pgSz w:w="11906" w:h="16838"/>
              <w:pgMar w:top="1440" w:right="1800" w:bottom="1440" w:left="1800" w:header="851" w:footer="454" w:gutter="0"/>
              <w:pgNumType w:start="1"/>
              <w:cols w:space="425" w:num="1"/>
              <w:docGrid w:type="lines" w:linePitch="435" w:charSpace="0"/>
            </w:sectPr>
          </w:pPr>
          <w:r>
            <w:rPr>
              <w:rFonts w:hint="eastAsia"/>
              <w:highlight w:val="none"/>
            </w:rPr>
            <w:fldChar w:fldCharType="end"/>
          </w:r>
        </w:p>
      </w:sdtContent>
    </w:sdt>
    <w:p>
      <w:pPr>
        <w:pStyle w:val="2"/>
        <w:rPr>
          <w:highlight w:val="none"/>
        </w:rPr>
      </w:pPr>
      <w:bookmarkStart w:id="7" w:name="_Toc91488161"/>
      <w:r>
        <w:rPr>
          <w:highlight w:val="none"/>
        </w:rPr>
        <w:t>前 言</w:t>
      </w:r>
      <w:bookmarkEnd w:id="7"/>
    </w:p>
    <w:p>
      <w:pPr>
        <w:ind w:firstLine="640"/>
        <w:rPr>
          <w:rFonts w:ascii="仿宋_GB2312" w:hAnsi="Calibri" w:cs="Times New Roman"/>
          <w:highlight w:val="none"/>
        </w:rPr>
      </w:pPr>
      <w:r>
        <w:rPr>
          <w:rFonts w:hint="eastAsia" w:ascii="仿宋_GB2312" w:hAnsi="Calibri" w:cs="Times New Roman"/>
          <w:highlight w:val="none"/>
        </w:rPr>
        <w:t>城镇化是现代化的必由之路，到2035年基本实现社会主义现代化，必须坚定不移、积极稳妥</w:t>
      </w:r>
      <w:r>
        <w:rPr>
          <w:rFonts w:hint="eastAsia" w:ascii="仿宋_GB2312" w:cs="Times New Roman"/>
          <w:highlight w:val="none"/>
        </w:rPr>
        <w:t>、高质量</w:t>
      </w:r>
      <w:r>
        <w:rPr>
          <w:rFonts w:hint="eastAsia" w:ascii="仿宋_GB2312" w:hAnsi="Calibri" w:cs="Times New Roman"/>
          <w:highlight w:val="none"/>
        </w:rPr>
        <w:t>推进</w:t>
      </w:r>
      <w:r>
        <w:rPr>
          <w:rFonts w:hint="eastAsia" w:ascii="仿宋_GB2312" w:cs="Times New Roman"/>
          <w:highlight w:val="none"/>
        </w:rPr>
        <w:t>新型</w:t>
      </w:r>
      <w:r>
        <w:rPr>
          <w:rFonts w:hint="eastAsia" w:ascii="仿宋_GB2312" w:hAnsi="Calibri" w:cs="Times New Roman"/>
          <w:highlight w:val="none"/>
        </w:rPr>
        <w:t>城镇化。</w:t>
      </w:r>
      <w:r>
        <w:rPr>
          <w:rFonts w:hint="eastAsia" w:ascii="仿宋_GB2312" w:cs="Times New Roman"/>
          <w:highlight w:val="none"/>
        </w:rPr>
        <w:t>站在社会主义现代化强市建设新的历史起点上，面对国际国内深刻复杂的发展形势，准确理解和把握烟台市在全国和全省发展格局中的定位与方向，科学谋划体现新时代要求、顺应发展趋势、彰显烟台市特色的新型城镇化与城乡融合发展路径，对于谱写乡村振兴齐鲁样板烟台篇章，加快新旧动能转换，服务新发展格局，率先实现社会主义现代化具有重大意义。</w:t>
      </w:r>
    </w:p>
    <w:p>
      <w:pPr>
        <w:ind w:firstLine="640"/>
        <w:rPr>
          <w:rFonts w:ascii="仿宋_GB2312" w:hAnsi="Calibri" w:cs="Times New Roman"/>
          <w:highlight w:val="none"/>
        </w:rPr>
      </w:pPr>
      <w:r>
        <w:rPr>
          <w:rFonts w:hint="eastAsia" w:ascii="仿宋_GB2312" w:cs="Times New Roman"/>
          <w:highlight w:val="none"/>
        </w:rPr>
        <w:t>《烟台市新型城镇化与城乡融合发展规划（2021-2035年）》以</w:t>
      </w:r>
      <w:r>
        <w:rPr>
          <w:rFonts w:hint="eastAsia" w:ascii="仿宋_GB2312" w:hAnsi="Calibri" w:cs="Times New Roman"/>
          <w:highlight w:val="none"/>
        </w:rPr>
        <w:t>习近平</w:t>
      </w:r>
      <w:r>
        <w:rPr>
          <w:rFonts w:hint="eastAsia" w:ascii="仿宋_GB2312" w:cs="Times New Roman"/>
          <w:highlight w:val="none"/>
        </w:rPr>
        <w:t>新时代中国特色社会主义思想为指导，深入贯彻习近平</w:t>
      </w:r>
      <w:r>
        <w:rPr>
          <w:rFonts w:hint="eastAsia" w:ascii="仿宋_GB2312" w:hAnsi="Calibri" w:cs="Times New Roman"/>
          <w:highlight w:val="none"/>
        </w:rPr>
        <w:t>总书记关于新型城镇化的系列重要讲话和重要批示指示精神、考察山东重要讲话精神，落实国家、山东省新型城镇化规划目标任务，</w:t>
      </w:r>
      <w:r>
        <w:rPr>
          <w:rFonts w:hint="eastAsia" w:ascii="仿宋_GB2312" w:cs="Times New Roman"/>
          <w:highlight w:val="none"/>
        </w:rPr>
        <w:t>认真落实市委市政府要求，</w:t>
      </w:r>
      <w:r>
        <w:rPr>
          <w:rFonts w:hint="eastAsia" w:ascii="仿宋_GB2312" w:hAnsi="Calibri" w:cs="Times New Roman"/>
          <w:highlight w:val="none"/>
        </w:rPr>
        <w:t>根据《山东省新型城镇化规划（2021—2035年）》</w:t>
      </w:r>
      <w:r>
        <w:rPr>
          <w:rFonts w:hint="eastAsia" w:ascii="仿宋_GB2312" w:cs="Times New Roman"/>
          <w:highlight w:val="none"/>
        </w:rPr>
        <w:t>、《烟台市国民经济和社会发展第十四个五年规划和二〇三五年远景目标纲要》等编制，明确未来全省城镇化主要目标、重点任务和发展路径，是指导全市新型城镇化与城乡融合发展的基础性、战略性规划，是其他相关规划编制的重要依据，规划期为2021年至2035年。</w:t>
      </w:r>
    </w:p>
    <w:p>
      <w:pPr>
        <w:ind w:firstLine="640"/>
        <w:rPr>
          <w:rFonts w:ascii="仿宋_GB2312" w:hAnsi="Calibri" w:cs="Times New Roman"/>
          <w:highlight w:val="none"/>
        </w:rPr>
      </w:pPr>
    </w:p>
    <w:p>
      <w:pPr>
        <w:widowControl/>
        <w:spacing w:line="240" w:lineRule="auto"/>
        <w:ind w:firstLine="0" w:firstLineChars="0"/>
        <w:jc w:val="left"/>
        <w:rPr>
          <w:rFonts w:ascii="仿宋_GB2312" w:hAnsi="Calibri" w:cs="Times New Roman"/>
          <w:highlight w:val="none"/>
        </w:rPr>
      </w:pPr>
      <w:r>
        <w:rPr>
          <w:rFonts w:ascii="仿宋_GB2312" w:hAnsi="Calibri" w:cs="Times New Roman"/>
          <w:highlight w:val="none"/>
        </w:rPr>
        <w:br w:type="page"/>
      </w:r>
    </w:p>
    <w:p>
      <w:pPr>
        <w:pStyle w:val="2"/>
        <w:rPr>
          <w:highlight w:val="none"/>
        </w:rPr>
        <w:sectPr>
          <w:footerReference r:id="rId8" w:type="default"/>
          <w:type w:val="continuous"/>
          <w:pgSz w:w="11906" w:h="16838"/>
          <w:pgMar w:top="1440" w:right="1800" w:bottom="1440" w:left="1800" w:header="851" w:footer="454" w:gutter="0"/>
          <w:pgNumType w:start="1"/>
          <w:cols w:space="425" w:num="1"/>
          <w:docGrid w:type="lines" w:linePitch="435" w:charSpace="0"/>
        </w:sectPr>
      </w:pPr>
      <w:bookmarkStart w:id="8" w:name="_Toc72582022"/>
      <w:bookmarkStart w:id="9" w:name="_Toc72435644"/>
    </w:p>
    <w:p>
      <w:pPr>
        <w:pStyle w:val="2"/>
        <w:rPr>
          <w:highlight w:val="none"/>
        </w:rPr>
      </w:pPr>
      <w:bookmarkStart w:id="10" w:name="_Toc91488162"/>
      <w:r>
        <w:rPr>
          <w:rFonts w:hint="eastAsia"/>
          <w:highlight w:val="none"/>
        </w:rPr>
        <w:t>第一章 总体要求</w:t>
      </w:r>
      <w:bookmarkEnd w:id="10"/>
    </w:p>
    <w:p>
      <w:pPr>
        <w:pStyle w:val="3"/>
        <w:rPr>
          <w:highlight w:val="none"/>
        </w:rPr>
      </w:pPr>
      <w:bookmarkStart w:id="11" w:name="_Toc91488163"/>
      <w:r>
        <w:rPr>
          <w:rFonts w:hint="eastAsia"/>
          <w:highlight w:val="none"/>
        </w:rPr>
        <w:t>第一节 指导思想</w:t>
      </w:r>
      <w:bookmarkEnd w:id="11"/>
    </w:p>
    <w:p>
      <w:pPr>
        <w:ind w:firstLine="640"/>
        <w:rPr>
          <w:rFonts w:ascii="仿宋_GB2312"/>
          <w:highlight w:val="none"/>
        </w:rPr>
      </w:pPr>
      <w:r>
        <w:rPr>
          <w:rFonts w:hint="eastAsia" w:ascii="仿宋_GB2312" w:hAnsi="仿宋"/>
          <w:bCs/>
          <w:szCs w:val="32"/>
          <w:highlight w:val="none"/>
        </w:rPr>
        <w:t>以习近平新时代中国特色社会主义思想为指导，全面贯彻党的十九大和十九届二中、三中、四中、五中、六中全会精神，统筹推进“五位一体”总体布局，协调推进“四个全面”战略布局，坚定不移贯彻新发展理念，坚持稳中求进工作总基调，聚焦“走在前列、全面开创”，以满足人民日益增长的美好生活需要为根本目的，以推动高质量发展、创造高品质生活、实现高效能治理为目标导向，以协同化、绿色化、双向化、创新化为方向，以深化供给侧结构性改革、扩大高水平开放为根本动力，深入实施以人为核心新型城镇化战略，健全城乡融合发展体制机制，促进人与自然和谐共生，高标准书写乡村振兴齐鲁样板烟台篇章，打造带动山东半岛城市圈发展动能加快转换的次中心，在新型城镇化建设新征程中走在前列，为新时代社会主义现代化强市建设提供坚实支撑。</w:t>
      </w:r>
    </w:p>
    <w:p>
      <w:pPr>
        <w:pStyle w:val="3"/>
        <w:rPr>
          <w:highlight w:val="none"/>
        </w:rPr>
      </w:pPr>
      <w:bookmarkStart w:id="12" w:name="_Toc91488164"/>
      <w:bookmarkStart w:id="13" w:name="_Toc88552429"/>
      <w:r>
        <w:rPr>
          <w:rFonts w:hint="eastAsia"/>
          <w:highlight w:val="none"/>
        </w:rPr>
        <w:t>第二节 基本原则</w:t>
      </w:r>
      <w:bookmarkEnd w:id="12"/>
      <w:bookmarkEnd w:id="13"/>
    </w:p>
    <w:p>
      <w:pPr>
        <w:ind w:firstLine="640"/>
        <w:rPr>
          <w:rFonts w:ascii="仿宋_GB2312" w:hAnsi="仿宋"/>
          <w:bCs/>
          <w:szCs w:val="32"/>
          <w:highlight w:val="none"/>
        </w:rPr>
      </w:pPr>
      <w:r>
        <w:rPr>
          <w:rFonts w:hint="eastAsia" w:ascii="楷体_GB2312" w:hAnsi="仿宋" w:eastAsia="楷体_GB2312"/>
          <w:bCs/>
          <w:szCs w:val="32"/>
          <w:highlight w:val="none"/>
        </w:rPr>
        <w:t>——以人为本，公平共享。</w:t>
      </w:r>
      <w:r>
        <w:rPr>
          <w:rFonts w:ascii="仿宋_GB2312" w:hAnsi="仿宋"/>
          <w:bCs/>
          <w:szCs w:val="32"/>
          <w:highlight w:val="none"/>
        </w:rPr>
        <w:t>将以人民为中心的发展思想贯穿</w:t>
      </w:r>
      <w:r>
        <w:rPr>
          <w:rFonts w:hint="eastAsia" w:ascii="仿宋_GB2312" w:hAnsi="仿宋"/>
          <w:bCs/>
          <w:szCs w:val="32"/>
          <w:highlight w:val="none"/>
        </w:rPr>
        <w:t>烟台</w:t>
      </w:r>
      <w:r>
        <w:rPr>
          <w:rFonts w:ascii="仿宋_GB2312" w:hAnsi="仿宋"/>
          <w:bCs/>
          <w:szCs w:val="32"/>
          <w:highlight w:val="none"/>
        </w:rPr>
        <w:t>新型城镇化</w:t>
      </w:r>
      <w:r>
        <w:rPr>
          <w:rFonts w:hint="eastAsia" w:ascii="仿宋_GB2312" w:hAnsi="仿宋"/>
          <w:bCs/>
          <w:szCs w:val="32"/>
          <w:highlight w:val="none"/>
        </w:rPr>
        <w:t>发展全过程</w:t>
      </w:r>
      <w:r>
        <w:rPr>
          <w:rFonts w:ascii="仿宋_GB2312" w:hAnsi="仿宋"/>
          <w:bCs/>
          <w:szCs w:val="32"/>
          <w:highlight w:val="none"/>
        </w:rPr>
        <w:t>，创造和扩大人的发展机会，增强人民获得感、幸福感、安全感</w:t>
      </w:r>
      <w:r>
        <w:rPr>
          <w:rFonts w:hint="eastAsia" w:ascii="仿宋_GB2312" w:hAnsi="仿宋"/>
          <w:bCs/>
          <w:szCs w:val="32"/>
          <w:highlight w:val="none"/>
        </w:rPr>
        <w:t>，使城乡居民更好地共享城镇化发展成果。</w:t>
      </w:r>
    </w:p>
    <w:p>
      <w:pPr>
        <w:ind w:firstLine="640"/>
        <w:rPr>
          <w:rFonts w:ascii="仿宋_GB2312" w:hAnsi="仿宋"/>
          <w:bCs/>
          <w:szCs w:val="32"/>
          <w:highlight w:val="none"/>
        </w:rPr>
      </w:pPr>
      <w:r>
        <w:rPr>
          <w:rFonts w:hint="eastAsia" w:ascii="楷体_GB2312" w:hAnsi="仿宋" w:eastAsia="楷体_GB2312"/>
          <w:bCs/>
          <w:szCs w:val="32"/>
          <w:highlight w:val="none"/>
        </w:rPr>
        <w:t>——区域协同，统筹布局。</w:t>
      </w:r>
      <w:r>
        <w:rPr>
          <w:rFonts w:hint="eastAsia" w:ascii="仿宋_GB2312" w:hAnsi="仿宋"/>
          <w:bCs/>
          <w:szCs w:val="32"/>
          <w:highlight w:val="none"/>
        </w:rPr>
        <w:t>把合作共建作为提升城市竞争优势的重要路径，全方位融入区域一体化发展，并将全市作为整体统筹规划，实现生产空间集约高效、生活空间宜居适度、生态空间绿色开敞。</w:t>
      </w:r>
    </w:p>
    <w:p>
      <w:pPr>
        <w:ind w:firstLine="640"/>
        <w:rPr>
          <w:rFonts w:ascii="仿宋_GB2312" w:hAnsi="仿宋"/>
          <w:bCs/>
          <w:szCs w:val="32"/>
          <w:highlight w:val="none"/>
        </w:rPr>
      </w:pPr>
      <w:r>
        <w:rPr>
          <w:rFonts w:hint="eastAsia" w:ascii="楷体_GB2312" w:hAnsi="仿宋" w:eastAsia="楷体_GB2312"/>
          <w:bCs/>
          <w:szCs w:val="32"/>
          <w:highlight w:val="none"/>
        </w:rPr>
        <w:t>——城乡互促，产城融合。</w:t>
      </w:r>
      <w:r>
        <w:rPr>
          <w:rFonts w:ascii="仿宋_GB2312" w:hAnsi="仿宋"/>
          <w:bCs/>
          <w:szCs w:val="32"/>
          <w:highlight w:val="none"/>
        </w:rPr>
        <w:t>坚持城乡一盘棋理念，推动城乡要素自由流动、平等交换和公共资源合理配置，加快实现农业农村现代化，构建新型工农城乡关系。顺应产业变革趋势，促进新旧动能有机转换，以产兴城、依城促产，促进人、产、城和谐发展。</w:t>
      </w:r>
    </w:p>
    <w:p>
      <w:pPr>
        <w:ind w:firstLine="640"/>
        <w:rPr>
          <w:rFonts w:ascii="仿宋_GB2312" w:hAnsi="仿宋"/>
          <w:bCs/>
          <w:szCs w:val="32"/>
          <w:highlight w:val="none"/>
        </w:rPr>
      </w:pPr>
      <w:r>
        <w:rPr>
          <w:rFonts w:hint="eastAsia" w:ascii="楷体_GB2312" w:hAnsi="仿宋" w:eastAsia="楷体_GB2312"/>
          <w:bCs/>
          <w:szCs w:val="32"/>
          <w:highlight w:val="none"/>
        </w:rPr>
        <w:t>——</w:t>
      </w:r>
      <w:r>
        <w:rPr>
          <w:rFonts w:ascii="楷体_GB2312" w:hAnsi="仿宋" w:eastAsia="楷体_GB2312"/>
          <w:bCs/>
          <w:szCs w:val="32"/>
          <w:highlight w:val="none"/>
        </w:rPr>
        <w:t>创新驱动，系统集成。</w:t>
      </w:r>
      <w:r>
        <w:rPr>
          <w:rFonts w:ascii="仿宋_GB2312" w:hAnsi="仿宋"/>
          <w:bCs/>
          <w:szCs w:val="32"/>
          <w:highlight w:val="none"/>
        </w:rPr>
        <w:t>以开放促进创新、以创新倒逼改革，破除制约高质量发展的体制机制障碍。坚持系统思维，强化政策协同，全面增强城镇化工作的系统性、整体性、协同性。</w:t>
      </w:r>
    </w:p>
    <w:p>
      <w:pPr>
        <w:ind w:firstLine="640"/>
        <w:rPr>
          <w:rFonts w:ascii="仿宋_GB2312" w:hAnsi="仿宋"/>
          <w:bCs/>
          <w:szCs w:val="32"/>
          <w:highlight w:val="none"/>
        </w:rPr>
      </w:pPr>
      <w:r>
        <w:rPr>
          <w:rFonts w:hint="eastAsia" w:ascii="楷体_GB2312" w:hAnsi="仿宋" w:eastAsia="楷体_GB2312"/>
          <w:bCs/>
          <w:szCs w:val="32"/>
          <w:highlight w:val="none"/>
        </w:rPr>
        <w:t>——绿色发展，数字赋能</w:t>
      </w:r>
      <w:r>
        <w:rPr>
          <w:rFonts w:ascii="楷体_GB2312" w:hAnsi="仿宋" w:eastAsia="楷体_GB2312"/>
          <w:bCs/>
          <w:szCs w:val="32"/>
          <w:highlight w:val="none"/>
        </w:rPr>
        <w:t>。</w:t>
      </w:r>
      <w:r>
        <w:rPr>
          <w:rFonts w:hint="eastAsia" w:ascii="仿宋_GB2312" w:hAnsi="仿宋"/>
          <w:bCs/>
          <w:szCs w:val="32"/>
          <w:highlight w:val="none"/>
        </w:rPr>
        <w:t>牢固树立绿水青山就是金山银山的理念，把绿色发展贯穿于城镇化建设管理全过程。加快推动数字化转型先行实践，提高新型城镇化整体智治水平。</w:t>
      </w:r>
    </w:p>
    <w:p>
      <w:pPr>
        <w:autoSpaceDE w:val="0"/>
        <w:autoSpaceDN w:val="0"/>
        <w:adjustRightInd w:val="0"/>
        <w:ind w:firstLine="640"/>
        <w:rPr>
          <w:rFonts w:ascii="仿宋_GB2312" w:hAnsi="仿宋"/>
          <w:bCs/>
          <w:szCs w:val="32"/>
          <w:highlight w:val="none"/>
        </w:rPr>
      </w:pPr>
      <w:r>
        <w:rPr>
          <w:rFonts w:hint="eastAsia" w:ascii="楷体_GB2312" w:hAnsi="仿宋" w:eastAsia="楷体_GB2312"/>
          <w:bCs/>
          <w:szCs w:val="32"/>
          <w:highlight w:val="none"/>
        </w:rPr>
        <w:t>——</w:t>
      </w:r>
      <w:r>
        <w:rPr>
          <w:rFonts w:ascii="楷体_GB2312" w:hAnsi="仿宋" w:eastAsia="楷体_GB2312"/>
          <w:bCs/>
          <w:szCs w:val="32"/>
          <w:highlight w:val="none"/>
        </w:rPr>
        <w:t>开放包容，彰显特色。</w:t>
      </w:r>
      <w:r>
        <w:rPr>
          <w:rFonts w:ascii="仿宋_GB2312" w:hAnsi="仿宋"/>
          <w:bCs/>
          <w:szCs w:val="32"/>
          <w:highlight w:val="none"/>
        </w:rPr>
        <w:t>倡导开放包容的城市文化</w:t>
      </w:r>
      <w:r>
        <w:rPr>
          <w:rFonts w:hint="eastAsia" w:ascii="仿宋_GB2312" w:hAnsi="仿宋"/>
          <w:bCs/>
          <w:szCs w:val="32"/>
          <w:highlight w:val="none"/>
        </w:rPr>
        <w:t>，建设</w:t>
      </w:r>
      <w:r>
        <w:rPr>
          <w:rFonts w:ascii="仿宋_GB2312" w:hAnsi="仿宋"/>
          <w:bCs/>
          <w:szCs w:val="32"/>
          <w:highlight w:val="none"/>
        </w:rPr>
        <w:t>全龄友好的包容性城市。全面保护历史文化，</w:t>
      </w:r>
      <w:r>
        <w:rPr>
          <w:rFonts w:hint="eastAsia" w:ascii="仿宋_GB2312" w:hAnsi="仿宋"/>
          <w:bCs/>
          <w:szCs w:val="32"/>
          <w:highlight w:val="none"/>
        </w:rPr>
        <w:t>传承弘扬工业文化、红色文化、海防文化等城市优秀传统文化，突</w:t>
      </w:r>
      <w:r>
        <w:rPr>
          <w:rFonts w:ascii="仿宋_GB2312" w:hAnsi="仿宋"/>
          <w:bCs/>
          <w:szCs w:val="32"/>
          <w:highlight w:val="none"/>
        </w:rPr>
        <w:t>出乡村</w:t>
      </w:r>
      <w:r>
        <w:rPr>
          <w:rFonts w:hint="eastAsia" w:ascii="仿宋_GB2312" w:hAnsi="仿宋"/>
          <w:bCs/>
          <w:szCs w:val="32"/>
          <w:highlight w:val="none"/>
        </w:rPr>
        <w:t>地域</w:t>
      </w:r>
      <w:r>
        <w:rPr>
          <w:rFonts w:ascii="仿宋_GB2312" w:hAnsi="仿宋"/>
          <w:bCs/>
          <w:szCs w:val="32"/>
          <w:highlight w:val="none"/>
        </w:rPr>
        <w:t>风貌特色，留住乡村记忆。</w:t>
      </w:r>
    </w:p>
    <w:p>
      <w:pPr>
        <w:pStyle w:val="3"/>
        <w:rPr>
          <w:highlight w:val="none"/>
        </w:rPr>
      </w:pPr>
      <w:bookmarkStart w:id="14" w:name="_Toc88552430"/>
      <w:bookmarkStart w:id="15" w:name="_Toc91488165"/>
      <w:r>
        <w:rPr>
          <w:rFonts w:hint="eastAsia"/>
          <w:highlight w:val="none"/>
        </w:rPr>
        <w:t>第三节 发展目标</w:t>
      </w:r>
      <w:bookmarkEnd w:id="14"/>
      <w:bookmarkEnd w:id="15"/>
    </w:p>
    <w:p>
      <w:pPr>
        <w:overflowPunct w:val="0"/>
        <w:autoSpaceDE w:val="0"/>
        <w:autoSpaceDN w:val="0"/>
        <w:ind w:firstLine="640"/>
        <w:rPr>
          <w:rFonts w:ascii="楷体_GB2312" w:eastAsia="楷体_GB2312"/>
          <w:highlight w:val="none"/>
        </w:rPr>
      </w:pPr>
      <w:r>
        <w:rPr>
          <w:rFonts w:ascii="仿宋_GB2312" w:hAnsi="仿宋"/>
          <w:bCs/>
          <w:szCs w:val="32"/>
          <w:highlight w:val="none"/>
        </w:rPr>
        <w:t>到2025年，</w:t>
      </w:r>
      <w:r>
        <w:rPr>
          <w:rFonts w:hint="eastAsia" w:ascii="仿宋_GB2312" w:hAnsi="仿宋"/>
          <w:bCs/>
          <w:szCs w:val="32"/>
          <w:highlight w:val="none"/>
        </w:rPr>
        <w:t>基本实现以人为核心、高质量发展为导向的新型城镇化战略，协同化、绿色化、双向化、创新化成为烟台新型城镇化新标识，努力打造山东省城镇村协调发展标杆地、城乡融合发展样板区。</w:t>
      </w:r>
    </w:p>
    <w:p>
      <w:pPr>
        <w:ind w:firstLine="640"/>
        <w:rPr>
          <w:rFonts w:ascii="仿宋_GB2312" w:hAnsi="仿宋"/>
          <w:bCs/>
          <w:szCs w:val="32"/>
          <w:highlight w:val="none"/>
        </w:rPr>
      </w:pPr>
      <w:r>
        <w:rPr>
          <w:rFonts w:hint="eastAsia" w:ascii="楷体_GB2312" w:hAnsi="仿宋" w:eastAsia="楷体_GB2312"/>
          <w:bCs/>
          <w:szCs w:val="32"/>
          <w:highlight w:val="none"/>
        </w:rPr>
        <w:t>——协同城镇化，形成更趋优化城镇化空间格局。</w:t>
      </w:r>
      <w:r>
        <w:rPr>
          <w:rFonts w:hint="eastAsia" w:ascii="仿宋_GB2312" w:hAnsi="仿宋"/>
          <w:bCs/>
          <w:szCs w:val="32"/>
          <w:highlight w:val="none"/>
        </w:rPr>
        <w:t>“烟台—威海”同城化发展更具竞争力、更具发展活力，市域“一核三带多片区”的城镇化发展格局更加成熟。中心城区人</w:t>
      </w:r>
      <w:r>
        <w:rPr>
          <w:rFonts w:ascii="仿宋_GB2312" w:hAnsi="仿宋"/>
          <w:bCs/>
          <w:szCs w:val="32"/>
          <w:highlight w:val="none"/>
        </w:rPr>
        <w:t>口经济承载能力、核心竞争力、辐射带动力</w:t>
      </w:r>
      <w:r>
        <w:rPr>
          <w:rFonts w:hint="eastAsia" w:ascii="仿宋_GB2312" w:hAnsi="仿宋"/>
          <w:bCs/>
          <w:szCs w:val="32"/>
          <w:highlight w:val="none"/>
        </w:rPr>
        <w:t>等主导作用</w:t>
      </w:r>
      <w:r>
        <w:rPr>
          <w:rFonts w:ascii="仿宋_GB2312" w:hAnsi="仿宋"/>
          <w:bCs/>
          <w:szCs w:val="32"/>
          <w:highlight w:val="none"/>
        </w:rPr>
        <w:t>明显增强</w:t>
      </w:r>
      <w:r>
        <w:rPr>
          <w:rFonts w:hint="eastAsia" w:ascii="仿宋_GB2312" w:hAnsi="仿宋"/>
          <w:bCs/>
          <w:szCs w:val="32"/>
          <w:highlight w:val="none"/>
        </w:rPr>
        <w:t>，</w:t>
      </w:r>
      <w:r>
        <w:rPr>
          <w:rFonts w:ascii="仿宋_GB2312" w:hAnsi="仿宋"/>
          <w:bCs/>
          <w:szCs w:val="32"/>
          <w:highlight w:val="none"/>
        </w:rPr>
        <w:t>县城综合承载能力和治理能力持续提升，小城镇服务农村发展功能不断夯实。综合交通运输网络持续完善，对城镇化格局的支撑和引导作用更加凸显。</w:t>
      </w:r>
    </w:p>
    <w:p>
      <w:pPr>
        <w:ind w:firstLine="640"/>
        <w:rPr>
          <w:rFonts w:ascii="仿宋_GB2312" w:hAnsi="仿宋"/>
          <w:bCs/>
          <w:szCs w:val="32"/>
          <w:highlight w:val="none"/>
        </w:rPr>
      </w:pPr>
      <w:r>
        <w:rPr>
          <w:rFonts w:hint="eastAsia" w:ascii="楷体_GB2312" w:hAnsi="仿宋" w:eastAsia="楷体_GB2312"/>
          <w:bCs/>
          <w:szCs w:val="32"/>
          <w:highlight w:val="none"/>
        </w:rPr>
        <w:t>——绿色城镇化，建成更生态宜居的未来城市</w:t>
      </w:r>
      <w:r>
        <w:rPr>
          <w:rFonts w:ascii="楷体_GB2312" w:hAnsi="仿宋" w:eastAsia="楷体_GB2312"/>
          <w:bCs/>
          <w:szCs w:val="32"/>
          <w:highlight w:val="none"/>
        </w:rPr>
        <w:t>。</w:t>
      </w:r>
      <w:r>
        <w:rPr>
          <w:rFonts w:hint="eastAsia" w:ascii="仿宋_GB2312" w:hAnsi="仿宋"/>
          <w:bCs/>
          <w:szCs w:val="32"/>
          <w:highlight w:val="none"/>
        </w:rPr>
        <w:t>绿色发展方式和生活方式基本形成，能源资源利用效率大幅提高，碳排放强度持续降低，</w:t>
      </w:r>
      <w:r>
        <w:rPr>
          <w:rFonts w:ascii="仿宋_GB2312" w:hAnsi="仿宋"/>
          <w:bCs/>
          <w:szCs w:val="32"/>
          <w:highlight w:val="none"/>
        </w:rPr>
        <w:t>高效便捷</w:t>
      </w:r>
      <w:r>
        <w:rPr>
          <w:rFonts w:hint="eastAsia" w:ascii="仿宋_GB2312" w:hAnsi="仿宋"/>
          <w:bCs/>
          <w:szCs w:val="32"/>
          <w:highlight w:val="none"/>
        </w:rPr>
        <w:t>普惠绿色</w:t>
      </w:r>
      <w:r>
        <w:rPr>
          <w:rFonts w:ascii="仿宋_GB2312" w:hAnsi="仿宋"/>
          <w:bCs/>
          <w:szCs w:val="32"/>
          <w:highlight w:val="none"/>
        </w:rPr>
        <w:t>的城</w:t>
      </w:r>
      <w:r>
        <w:rPr>
          <w:rFonts w:hint="eastAsia" w:ascii="仿宋_GB2312" w:hAnsi="仿宋"/>
          <w:bCs/>
          <w:szCs w:val="32"/>
          <w:highlight w:val="none"/>
        </w:rPr>
        <w:t>乡</w:t>
      </w:r>
      <w:r>
        <w:rPr>
          <w:rFonts w:ascii="仿宋_GB2312" w:hAnsi="仿宋"/>
          <w:bCs/>
          <w:szCs w:val="32"/>
          <w:highlight w:val="none"/>
        </w:rPr>
        <w:t>设施和服务体系更加健全，人居环境和生活品质持续优化</w:t>
      </w:r>
      <w:r>
        <w:rPr>
          <w:rFonts w:hint="eastAsia" w:ascii="仿宋_GB2312" w:hAnsi="仿宋"/>
          <w:bCs/>
          <w:szCs w:val="32"/>
          <w:highlight w:val="none"/>
        </w:rPr>
        <w:t>，城市特色不断凸显</w:t>
      </w:r>
      <w:r>
        <w:rPr>
          <w:rFonts w:ascii="仿宋_GB2312" w:hAnsi="仿宋"/>
          <w:bCs/>
          <w:szCs w:val="32"/>
          <w:highlight w:val="none"/>
        </w:rPr>
        <w:t>，城市安全保障能力大幅提升，</w:t>
      </w:r>
      <w:r>
        <w:rPr>
          <w:rFonts w:hint="eastAsia" w:ascii="仿宋_GB2312" w:hAnsi="仿宋"/>
          <w:bCs/>
          <w:szCs w:val="32"/>
          <w:highlight w:val="none"/>
        </w:rPr>
        <w:t>生态宜居、魅力人文和“碳中和”充分展现，</w:t>
      </w:r>
      <w:r>
        <w:rPr>
          <w:rFonts w:ascii="仿宋_GB2312" w:hAnsi="仿宋"/>
          <w:bCs/>
          <w:szCs w:val="32"/>
          <w:highlight w:val="none"/>
        </w:rPr>
        <w:t>多元文化</w:t>
      </w:r>
      <w:r>
        <w:rPr>
          <w:rFonts w:hint="eastAsia" w:ascii="仿宋_GB2312" w:hAnsi="仿宋"/>
          <w:bCs/>
          <w:szCs w:val="32"/>
          <w:highlight w:val="none"/>
        </w:rPr>
        <w:t>特色</w:t>
      </w:r>
      <w:r>
        <w:rPr>
          <w:rFonts w:ascii="仿宋_GB2312" w:hAnsi="仿宋"/>
          <w:bCs/>
          <w:szCs w:val="32"/>
          <w:highlight w:val="none"/>
        </w:rPr>
        <w:t>在城市交融升华</w:t>
      </w:r>
      <w:r>
        <w:rPr>
          <w:rFonts w:hint="eastAsia" w:ascii="仿宋_GB2312" w:hAnsi="仿宋"/>
          <w:bCs/>
          <w:szCs w:val="32"/>
          <w:highlight w:val="none"/>
        </w:rPr>
        <w:t>，内涵式、集约型、绿色化的城市空间利用方式初步形成</w:t>
      </w:r>
      <w:r>
        <w:rPr>
          <w:rFonts w:ascii="仿宋_GB2312" w:hAnsi="仿宋"/>
          <w:bCs/>
          <w:szCs w:val="32"/>
          <w:highlight w:val="none"/>
        </w:rPr>
        <w:t>。</w:t>
      </w:r>
    </w:p>
    <w:p>
      <w:pPr>
        <w:ind w:firstLine="640"/>
        <w:rPr>
          <w:rFonts w:ascii="仿宋_GB2312" w:hAnsi="仿宋"/>
          <w:bCs/>
          <w:szCs w:val="32"/>
          <w:highlight w:val="none"/>
        </w:rPr>
      </w:pPr>
      <w:r>
        <w:rPr>
          <w:rFonts w:hint="eastAsia" w:ascii="楷体_GB2312" w:hAnsi="仿宋" w:eastAsia="楷体_GB2312"/>
          <w:bCs/>
          <w:szCs w:val="32"/>
          <w:highlight w:val="none"/>
        </w:rPr>
        <w:t>——双向城镇化，踏上更趋共享的城乡融合发展道路。</w:t>
      </w:r>
      <w:r>
        <w:rPr>
          <w:rFonts w:hint="eastAsia" w:ascii="仿宋_GB2312" w:hAnsi="仿宋"/>
          <w:bCs/>
          <w:szCs w:val="32"/>
          <w:highlight w:val="none"/>
        </w:rPr>
        <w:t>全面打造全国城乡融合发展先行区，要素双向流动、城乡互促共进的新格局基本形成。全市城镇化水平迈上新台阶，常住人口城镇化率达到70%以上。</w:t>
      </w:r>
      <w:r>
        <w:rPr>
          <w:rFonts w:ascii="仿宋_GB2312" w:hAnsi="仿宋"/>
          <w:bCs/>
          <w:szCs w:val="32"/>
          <w:highlight w:val="none"/>
        </w:rPr>
        <w:t>城乡要素自由流动的制度性通道基本打通</w:t>
      </w:r>
      <w:r>
        <w:rPr>
          <w:rFonts w:hint="eastAsia" w:ascii="仿宋_GB2312" w:hAnsi="仿宋"/>
          <w:bCs/>
          <w:szCs w:val="32"/>
          <w:highlight w:val="none"/>
        </w:rPr>
        <w:t>，</w:t>
      </w:r>
      <w:r>
        <w:rPr>
          <w:rFonts w:ascii="仿宋_GB2312" w:hAnsi="仿宋"/>
          <w:bCs/>
          <w:szCs w:val="32"/>
          <w:highlight w:val="none"/>
        </w:rPr>
        <w:t>城市人才入乡机制初步建立，城乡统一的建设用地市场基本建成，城乡普惠金融服务体系更加完善，基本公共服务均等化水平稳步提高，城乡统一规划建设运营的基础设施体系初步形成</w:t>
      </w:r>
      <w:r>
        <w:rPr>
          <w:rFonts w:hint="eastAsia" w:ascii="仿宋_GB2312" w:hAnsi="仿宋"/>
          <w:bCs/>
          <w:szCs w:val="32"/>
          <w:highlight w:val="none"/>
        </w:rPr>
        <w:t>，</w:t>
      </w:r>
      <w:r>
        <w:rPr>
          <w:rFonts w:ascii="仿宋_GB2312" w:hAnsi="仿宋"/>
          <w:bCs/>
          <w:szCs w:val="32"/>
          <w:highlight w:val="none"/>
        </w:rPr>
        <w:t>产业协同发展程度明显提升，</w:t>
      </w:r>
      <w:r>
        <w:rPr>
          <w:rFonts w:hint="eastAsia" w:ascii="仿宋_GB2312" w:hAnsi="仿宋"/>
          <w:bCs/>
          <w:szCs w:val="32"/>
          <w:highlight w:val="none"/>
        </w:rPr>
        <w:t>城乡居民人均可支配收入比显著缩小，</w:t>
      </w:r>
      <w:r>
        <w:rPr>
          <w:rFonts w:ascii="仿宋_GB2312" w:hAnsi="仿宋"/>
          <w:bCs/>
          <w:szCs w:val="32"/>
          <w:highlight w:val="none"/>
        </w:rPr>
        <w:t>城乡居民人均可支配收入比降至2.1左右</w:t>
      </w:r>
      <w:r>
        <w:rPr>
          <w:rFonts w:hint="eastAsia" w:ascii="仿宋_GB2312" w:hAnsi="仿宋"/>
          <w:bCs/>
          <w:szCs w:val="32"/>
          <w:highlight w:val="none"/>
        </w:rPr>
        <w:t>，城乡居民共享新型城镇化成果。</w:t>
      </w:r>
    </w:p>
    <w:p>
      <w:pPr>
        <w:ind w:firstLine="640"/>
        <w:rPr>
          <w:rFonts w:ascii="仿宋_GB2312" w:hAnsi="仿宋"/>
          <w:bCs/>
          <w:szCs w:val="32"/>
          <w:highlight w:val="none"/>
        </w:rPr>
      </w:pPr>
      <w:r>
        <w:rPr>
          <w:rFonts w:hint="eastAsia" w:ascii="楷体_GB2312" w:hAnsi="仿宋" w:eastAsia="楷体_GB2312"/>
          <w:bCs/>
          <w:szCs w:val="32"/>
          <w:highlight w:val="none"/>
        </w:rPr>
        <w:t>——创新城镇化，具有更高质量的产业与</w:t>
      </w:r>
      <w:r>
        <w:rPr>
          <w:rFonts w:ascii="楷体_GB2312" w:hAnsi="仿宋" w:eastAsia="楷体_GB2312"/>
          <w:bCs/>
          <w:szCs w:val="32"/>
          <w:highlight w:val="none"/>
        </w:rPr>
        <w:t>治理现代化</w:t>
      </w:r>
      <w:r>
        <w:rPr>
          <w:rFonts w:hint="eastAsia" w:ascii="楷体_GB2312" w:hAnsi="仿宋" w:eastAsia="楷体_GB2312"/>
          <w:bCs/>
          <w:szCs w:val="32"/>
          <w:highlight w:val="none"/>
        </w:rPr>
        <w:t>水平</w:t>
      </w:r>
      <w:r>
        <w:rPr>
          <w:rFonts w:ascii="楷体_GB2312" w:hAnsi="仿宋" w:eastAsia="楷体_GB2312"/>
          <w:bCs/>
          <w:szCs w:val="32"/>
          <w:highlight w:val="none"/>
        </w:rPr>
        <w:t>。</w:t>
      </w:r>
      <w:r>
        <w:rPr>
          <w:rFonts w:hint="eastAsia" w:ascii="仿宋_GB2312" w:hAnsi="仿宋"/>
          <w:bCs/>
          <w:szCs w:val="32"/>
          <w:highlight w:val="none"/>
        </w:rPr>
        <w:t>城乡创新创业能力进一步增强，新旧动能转换率先塑成优势，基本建成高质量发展现代产业体系，先进制造业占比大幅提升，基本建成富有特色的海洋经济大市，新型基础设施支撑更加夯实，教育、医疗等领域智慧服务体系基本形成，大力提升整体智治水平，</w:t>
      </w:r>
      <w:r>
        <w:rPr>
          <w:rFonts w:ascii="仿宋_GB2312" w:hAnsi="仿宋"/>
          <w:bCs/>
          <w:szCs w:val="32"/>
          <w:highlight w:val="none"/>
        </w:rPr>
        <w:t>共建共治共享的精细化社会治理格局基本</w:t>
      </w:r>
      <w:r>
        <w:rPr>
          <w:rFonts w:hint="eastAsia" w:ascii="仿宋_GB2312" w:hAnsi="仿宋"/>
          <w:bCs/>
          <w:szCs w:val="32"/>
          <w:highlight w:val="none"/>
        </w:rPr>
        <w:t>形成。</w:t>
      </w:r>
    </w:p>
    <w:p>
      <w:pPr>
        <w:spacing w:after="217" w:afterLines="50"/>
        <w:ind w:firstLine="640"/>
        <w:rPr>
          <w:rFonts w:ascii="仿宋_GB2312" w:hAnsi="仿宋"/>
          <w:bCs/>
          <w:szCs w:val="32"/>
          <w:highlight w:val="none"/>
        </w:rPr>
      </w:pPr>
      <w:r>
        <w:rPr>
          <w:rFonts w:hint="eastAsia" w:ascii="仿宋_GB2312" w:hAnsi="仿宋"/>
          <w:bCs/>
          <w:szCs w:val="32"/>
          <w:highlight w:val="none"/>
        </w:rPr>
        <w:t>到2</w:t>
      </w:r>
      <w:r>
        <w:rPr>
          <w:rFonts w:ascii="仿宋_GB2312" w:hAnsi="仿宋"/>
          <w:bCs/>
          <w:szCs w:val="32"/>
          <w:highlight w:val="none"/>
        </w:rPr>
        <w:t>035</w:t>
      </w:r>
      <w:r>
        <w:rPr>
          <w:rFonts w:hint="eastAsia" w:ascii="仿宋_GB2312" w:hAnsi="仿宋"/>
          <w:bCs/>
          <w:szCs w:val="32"/>
          <w:highlight w:val="none"/>
        </w:rPr>
        <w:t>年，</w:t>
      </w:r>
      <w:r>
        <w:rPr>
          <w:rFonts w:ascii="仿宋_GB2312" w:hAnsi="仿宋"/>
          <w:bCs/>
          <w:szCs w:val="32"/>
          <w:highlight w:val="none"/>
        </w:rPr>
        <w:t>城镇化高质量发展迈上新的大台阶，常住人口城镇化率达到76%左右</w:t>
      </w:r>
      <w:r>
        <w:rPr>
          <w:rFonts w:hint="eastAsia" w:ascii="仿宋_GB2312" w:hAnsi="仿宋"/>
          <w:bCs/>
          <w:szCs w:val="32"/>
          <w:highlight w:val="none"/>
        </w:rPr>
        <w:t>。协同化、绿色化、双向化、创新化模式更加成熟定型，</w:t>
      </w:r>
      <w:r>
        <w:rPr>
          <w:rFonts w:ascii="仿宋_GB2312" w:hAnsi="仿宋"/>
          <w:bCs/>
          <w:szCs w:val="32"/>
          <w:highlight w:val="none"/>
        </w:rPr>
        <w:t>城镇空间形态更加完善，产业发展与人口布局更加协调，率先实现碳排放达峰后稳中有降，生态环境质量、绿色发展水平处于国内领先。率先实现人的现代化、城市现代化、产业现代化、治理现代化，城市综合能级和美誉度大幅提升，基本建成新时代现代化强市。城乡深度融合，城乡融合发展体制机制更加完善，城乡区域发展和居民生活水平均衡度持续提高，基本公共服务实现均等化，</w:t>
      </w:r>
      <w:r>
        <w:rPr>
          <w:rFonts w:hint="eastAsia" w:ascii="仿宋_GB2312" w:hAnsi="仿宋"/>
          <w:bCs/>
          <w:szCs w:val="32"/>
          <w:highlight w:val="none"/>
        </w:rPr>
        <w:t>形成</w:t>
      </w:r>
      <w:r>
        <w:rPr>
          <w:rFonts w:ascii="仿宋_GB2312" w:hAnsi="仿宋"/>
          <w:bCs/>
          <w:szCs w:val="32"/>
          <w:highlight w:val="none"/>
        </w:rPr>
        <w:t>强城强乡互促发展新局面，</w:t>
      </w:r>
      <w:r>
        <w:rPr>
          <w:rFonts w:hint="eastAsia" w:ascii="仿宋_GB2312" w:hAnsi="仿宋"/>
          <w:bCs/>
          <w:szCs w:val="32"/>
          <w:highlight w:val="none"/>
        </w:rPr>
        <w:t>共同富裕取得更为明显的实质性进展</w:t>
      </w:r>
      <w:r>
        <w:rPr>
          <w:rFonts w:ascii="仿宋_GB2312" w:hAnsi="仿宋"/>
          <w:bCs/>
          <w:szCs w:val="32"/>
          <w:highlight w:val="none"/>
        </w:rPr>
        <w:t>。</w:t>
      </w:r>
      <w:bookmarkEnd w:id="8"/>
      <w:bookmarkEnd w:id="9"/>
    </w:p>
    <w:tbl>
      <w:tblPr>
        <w:tblStyle w:val="77"/>
        <w:tblW w:w="8564"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3"/>
        <w:gridCol w:w="700"/>
        <w:gridCol w:w="2883"/>
        <w:gridCol w:w="1017"/>
        <w:gridCol w:w="850"/>
        <w:gridCol w:w="1050"/>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564" w:type="dxa"/>
            <w:gridSpan w:val="7"/>
          </w:tcPr>
          <w:p>
            <w:pPr>
              <w:spacing w:before="217" w:beforeLines="50" w:after="217" w:afterLines="50" w:line="420" w:lineRule="exact"/>
              <w:ind w:firstLine="560"/>
              <w:jc w:val="center"/>
              <w:rPr>
                <w:rFonts w:ascii="黑体" w:hAnsi="黑体" w:eastAsia="黑体" w:cs="ø´“»˛"/>
                <w:kern w:val="0"/>
                <w:sz w:val="28"/>
                <w:szCs w:val="28"/>
                <w:highlight w:val="none"/>
              </w:rPr>
            </w:pPr>
            <w:r>
              <w:rPr>
                <w:rFonts w:hint="eastAsia" w:ascii="黑体" w:hAnsi="黑体" w:eastAsia="黑体" w:cs="ø´“»˛"/>
                <w:kern w:val="0"/>
                <w:sz w:val="28"/>
                <w:szCs w:val="28"/>
                <w:highlight w:val="none"/>
              </w:rPr>
              <w:t>专栏3-1：规划主要指标及目标值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类别</w:t>
            </w: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序号</w:t>
            </w:r>
          </w:p>
        </w:tc>
        <w:tc>
          <w:tcPr>
            <w:tcW w:w="2883"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指标名称</w:t>
            </w:r>
          </w:p>
        </w:tc>
        <w:tc>
          <w:tcPr>
            <w:tcW w:w="1017"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单位</w:t>
            </w:r>
          </w:p>
        </w:tc>
        <w:tc>
          <w:tcPr>
            <w:tcW w:w="85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2020年</w:t>
            </w:r>
          </w:p>
        </w:tc>
        <w:tc>
          <w:tcPr>
            <w:tcW w:w="105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2025年</w:t>
            </w:r>
          </w:p>
        </w:tc>
        <w:tc>
          <w:tcPr>
            <w:tcW w:w="1061"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restart"/>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协同化</w:t>
            </w: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镇区人口过10万的新生小城市</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个</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2</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集体经营收益10万元以上村占比</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80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3</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特色村庄个数</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个</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ascii="仿宋_GB2312" w:hAnsi="仿宋" w:cs="Times New Roman"/>
                <w:kern w:val="0"/>
                <w:sz w:val="24"/>
                <w:szCs w:val="24"/>
                <w:highlight w:val="none"/>
              </w:rPr>
              <w:t xml:space="preserve"> 168</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3</w:t>
            </w:r>
            <w:r>
              <w:rPr>
                <w:rFonts w:ascii="仿宋_GB2312" w:hAnsi="仿宋" w:cs="Times New Roman"/>
                <w:kern w:val="0"/>
                <w:sz w:val="24"/>
                <w:szCs w:val="24"/>
                <w:highlight w:val="none"/>
              </w:rPr>
              <w:t>60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7</w:t>
            </w:r>
            <w:r>
              <w:rPr>
                <w:rFonts w:ascii="仿宋_GB2312" w:hAnsi="仿宋" w:cs="Times New Roman"/>
                <w:kern w:val="0"/>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4</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ø´“»˛"/>
                <w:kern w:val="0"/>
                <w:sz w:val="24"/>
                <w:szCs w:val="24"/>
                <w:highlight w:val="none"/>
              </w:rPr>
              <w:t>高速铁路运营里程</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公里</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 xml:space="preserve"> </w:t>
            </w:r>
            <w:r>
              <w:rPr>
                <w:rFonts w:ascii="仿宋_GB2312" w:hAnsi="仿宋" w:cs="Times New Roman"/>
                <w:kern w:val="0"/>
                <w:sz w:val="24"/>
                <w:szCs w:val="24"/>
                <w:highlight w:val="none"/>
              </w:rPr>
              <w:t>146</w:t>
            </w:r>
            <w:r>
              <w:rPr>
                <w:rFonts w:hint="eastAsia" w:ascii="仿宋_GB2312" w:hAnsi="仿宋" w:cs="Times New Roman"/>
                <w:kern w:val="0"/>
                <w:sz w:val="24"/>
                <w:szCs w:val="24"/>
                <w:highlight w:val="none"/>
              </w:rPr>
              <w:t xml:space="preserve">   </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w:t>
            </w:r>
            <w:r>
              <w:rPr>
                <w:rFonts w:ascii="仿宋_GB2312" w:hAnsi="仿宋" w:cs="Times New Roman"/>
                <w:kern w:val="0"/>
                <w:sz w:val="24"/>
                <w:szCs w:val="24"/>
                <w:highlight w:val="none"/>
              </w:rPr>
              <w:t>33</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700左右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restart"/>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绿色化</w:t>
            </w: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5</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ø´“»˛"/>
                <w:kern w:val="0"/>
                <w:sz w:val="24"/>
                <w:szCs w:val="24"/>
                <w:highlight w:val="none"/>
              </w:rPr>
              <w:t>城镇居民人均住房建筑面积</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m</w:t>
            </w:r>
            <w:r>
              <w:rPr>
                <w:rFonts w:hint="eastAsia" w:ascii="仿宋_GB2312" w:hAnsi="仿宋" w:cs="Times New Roman"/>
                <w:kern w:val="0"/>
                <w:sz w:val="24"/>
                <w:szCs w:val="24"/>
                <w:highlight w:val="none"/>
                <w:vertAlign w:val="superscript"/>
              </w:rPr>
              <w:t>2</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38.95</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42</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6</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社区养老设施配建达标率</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100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7</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城市生活垃圾回收利用率</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85</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8</w:t>
            </w:r>
          </w:p>
        </w:tc>
        <w:tc>
          <w:tcPr>
            <w:tcW w:w="2883" w:type="dxa"/>
            <w:vAlign w:val="center"/>
          </w:tcPr>
          <w:p>
            <w:pPr>
              <w:widowControl/>
              <w:spacing w:line="360" w:lineRule="exact"/>
              <w:ind w:firstLine="0" w:firstLineChars="0"/>
              <w:jc w:val="left"/>
              <w:rPr>
                <w:rFonts w:ascii="仿宋_GB2312" w:hAnsi="仿宋" w:cs="ø´“»˛"/>
                <w:kern w:val="0"/>
                <w:sz w:val="24"/>
                <w:szCs w:val="24"/>
                <w:highlight w:val="none"/>
              </w:rPr>
            </w:pPr>
            <w:r>
              <w:rPr>
                <w:rFonts w:hint="eastAsia" w:ascii="仿宋_GB2312" w:hAnsi="仿宋" w:cs="ø´“»˛"/>
                <w:kern w:val="0"/>
                <w:sz w:val="24"/>
                <w:szCs w:val="24"/>
                <w:highlight w:val="none"/>
              </w:rPr>
              <w:t>城市污水处理率</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97.9</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98</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9</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城市（县城）建成区绿化覆盖</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40.34</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42</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10</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ø´“»˛"/>
                <w:kern w:val="0"/>
                <w:sz w:val="24"/>
                <w:szCs w:val="24"/>
                <w:highlight w:val="none"/>
              </w:rPr>
              <w:t>城市空气质量优良天数比率</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ø´“»˛"/>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94</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11</w:t>
            </w:r>
          </w:p>
        </w:tc>
        <w:tc>
          <w:tcPr>
            <w:tcW w:w="2883" w:type="dxa"/>
            <w:vAlign w:val="center"/>
          </w:tcPr>
          <w:p>
            <w:pPr>
              <w:widowControl/>
              <w:spacing w:line="360" w:lineRule="exact"/>
              <w:ind w:firstLine="0" w:firstLineChars="0"/>
              <w:jc w:val="left"/>
              <w:rPr>
                <w:rFonts w:ascii="仿宋_GB2312" w:hAnsi="仿宋" w:cs="ø´“»˛"/>
                <w:kern w:val="0"/>
                <w:sz w:val="24"/>
                <w:szCs w:val="24"/>
                <w:highlight w:val="none"/>
              </w:rPr>
            </w:pPr>
            <w:r>
              <w:rPr>
                <w:rFonts w:hint="eastAsia" w:ascii="仿宋_GB2312" w:hAnsi="仿宋" w:cs="ø´“»˛"/>
                <w:kern w:val="0"/>
                <w:sz w:val="24"/>
                <w:szCs w:val="24"/>
                <w:highlight w:val="none"/>
              </w:rPr>
              <w:t>绿色建筑占新建建筑比例</w:t>
            </w:r>
          </w:p>
        </w:tc>
        <w:tc>
          <w:tcPr>
            <w:tcW w:w="1017" w:type="dxa"/>
            <w:vAlign w:val="center"/>
          </w:tcPr>
          <w:p>
            <w:pPr>
              <w:widowControl/>
              <w:spacing w:line="240" w:lineRule="auto"/>
              <w:ind w:firstLine="0" w:firstLineChars="0"/>
              <w:jc w:val="center"/>
              <w:rPr>
                <w:rFonts w:ascii="仿宋_GB2312" w:hAnsi="仿宋" w:cs="ø´“»˛"/>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ø´“»˛"/>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100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 w:type="dxa"/>
            <w:vMerge w:val="restart"/>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双向化</w:t>
            </w: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12</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常住人口城镇化率</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67.3</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70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13</w:t>
            </w:r>
          </w:p>
        </w:tc>
        <w:tc>
          <w:tcPr>
            <w:tcW w:w="2883" w:type="dxa"/>
            <w:vAlign w:val="center"/>
          </w:tcPr>
          <w:p>
            <w:pPr>
              <w:widowControl/>
              <w:spacing w:line="360" w:lineRule="exact"/>
              <w:ind w:firstLine="0" w:firstLineChars="0"/>
              <w:jc w:val="left"/>
              <w:rPr>
                <w:rFonts w:ascii="仿宋_GB2312" w:hAnsi="仿宋" w:cs="ø´“»˛"/>
                <w:kern w:val="0"/>
                <w:sz w:val="24"/>
                <w:szCs w:val="24"/>
                <w:highlight w:val="none"/>
              </w:rPr>
            </w:pPr>
            <w:r>
              <w:rPr>
                <w:rFonts w:hint="eastAsia" w:ascii="仿宋_GB2312" w:hAnsi="仿宋" w:cs="ø´“»˛"/>
                <w:kern w:val="0"/>
                <w:sz w:val="24"/>
                <w:szCs w:val="24"/>
                <w:highlight w:val="none"/>
              </w:rPr>
              <w:t>粮食综合生产能力</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万吨</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174.66</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&gt;170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&gt;170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14</w:t>
            </w:r>
          </w:p>
        </w:tc>
        <w:tc>
          <w:tcPr>
            <w:tcW w:w="2883" w:type="dxa"/>
            <w:vAlign w:val="center"/>
          </w:tcPr>
          <w:p>
            <w:pPr>
              <w:widowControl/>
              <w:spacing w:line="360" w:lineRule="exact"/>
              <w:ind w:firstLine="0" w:firstLineChars="0"/>
              <w:jc w:val="left"/>
              <w:rPr>
                <w:rFonts w:ascii="仿宋_GB2312" w:hAnsi="仿宋" w:cs="ø´“»˛"/>
                <w:kern w:val="0"/>
                <w:sz w:val="24"/>
                <w:szCs w:val="24"/>
                <w:highlight w:val="none"/>
              </w:rPr>
            </w:pPr>
            <w:r>
              <w:rPr>
                <w:rFonts w:hint="eastAsia" w:ascii="仿宋_GB2312" w:hAnsi="仿宋" w:cs="ø´“»˛"/>
                <w:kern w:val="0"/>
                <w:sz w:val="24"/>
                <w:szCs w:val="24"/>
                <w:highlight w:val="none"/>
              </w:rPr>
              <w:t>城乡居民人均可支配收入比</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2.2</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2.1</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15</w:t>
            </w:r>
          </w:p>
        </w:tc>
        <w:tc>
          <w:tcPr>
            <w:tcW w:w="2883" w:type="dxa"/>
            <w:vAlign w:val="center"/>
          </w:tcPr>
          <w:p>
            <w:pPr>
              <w:widowControl/>
              <w:spacing w:line="360" w:lineRule="exact"/>
              <w:ind w:firstLine="0" w:firstLineChars="0"/>
              <w:jc w:val="left"/>
              <w:rPr>
                <w:rFonts w:ascii="仿宋_GB2312" w:hAnsi="仿宋" w:cs="ø´“»˛"/>
                <w:kern w:val="0"/>
                <w:sz w:val="24"/>
                <w:szCs w:val="24"/>
                <w:highlight w:val="none"/>
              </w:rPr>
            </w:pPr>
            <w:r>
              <w:rPr>
                <w:rFonts w:hint="eastAsia" w:ascii="仿宋_GB2312" w:hAnsi="仿宋" w:cs="ø´“»˛"/>
                <w:kern w:val="0"/>
                <w:sz w:val="24"/>
                <w:szCs w:val="24"/>
                <w:highlight w:val="none"/>
              </w:rPr>
              <w:t>新型农业经营主体培育个数</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个</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2</w:t>
            </w:r>
            <w:r>
              <w:rPr>
                <w:rFonts w:ascii="仿宋_GB2312" w:hAnsi="仿宋" w:cs="Times New Roman"/>
                <w:kern w:val="0"/>
                <w:sz w:val="24"/>
                <w:szCs w:val="24"/>
                <w:highlight w:val="none"/>
              </w:rPr>
              <w:t>3859</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2</w:t>
            </w:r>
            <w:r>
              <w:rPr>
                <w:rFonts w:ascii="仿宋_GB2312" w:hAnsi="仿宋" w:cs="Times New Roman"/>
                <w:kern w:val="0"/>
                <w:sz w:val="24"/>
                <w:szCs w:val="24"/>
                <w:highlight w:val="none"/>
              </w:rPr>
              <w:t>4500</w:t>
            </w:r>
          </w:p>
        </w:tc>
        <w:tc>
          <w:tcPr>
            <w:tcW w:w="1061" w:type="dxa"/>
            <w:vAlign w:val="center"/>
          </w:tcPr>
          <w:p>
            <w:pPr>
              <w:widowControl/>
              <w:spacing w:line="240" w:lineRule="auto"/>
              <w:ind w:firstLine="240" w:firstLineChars="100"/>
              <w:rPr>
                <w:rFonts w:ascii="仿宋_GB2312" w:hAnsi="仿宋" w:cs="Times New Roman"/>
                <w:kern w:val="0"/>
                <w:sz w:val="24"/>
                <w:szCs w:val="24"/>
                <w:highlight w:val="none"/>
              </w:rPr>
            </w:pPr>
            <w:r>
              <w:rPr>
                <w:rFonts w:ascii="仿宋_GB2312" w:hAnsi="仿宋" w:cs="Times New Roman"/>
                <w:kern w:val="0"/>
                <w:sz w:val="24"/>
                <w:szCs w:val="24"/>
                <w:highlight w:val="none"/>
              </w:rPr>
              <w:t>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03" w:type="dxa"/>
            <w:vMerge w:val="restart"/>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创新化</w:t>
            </w: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16</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“四新”经济增加值占比</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31.5</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40</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17</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海洋生产总值GDP占比</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23.6</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25</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18</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ﬁ“»˛"/>
                <w:kern w:val="0"/>
                <w:sz w:val="24"/>
                <w:szCs w:val="24"/>
                <w:highlight w:val="none"/>
              </w:rPr>
              <w:t>第三产业增加值占比</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51.9</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58</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19</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制造业增加值占地区生产总值比重</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≥35</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20</w:t>
            </w:r>
          </w:p>
        </w:tc>
        <w:tc>
          <w:tcPr>
            <w:tcW w:w="2883" w:type="dxa"/>
            <w:vAlign w:val="center"/>
          </w:tcPr>
          <w:p>
            <w:pPr>
              <w:widowControl/>
              <w:spacing w:line="360" w:lineRule="exact"/>
              <w:ind w:firstLine="0" w:firstLineChars="0"/>
              <w:jc w:val="left"/>
              <w:rPr>
                <w:rFonts w:ascii="仿宋_GB2312" w:hAnsi="仿宋" w:cs="ø´“»˛"/>
                <w:kern w:val="0"/>
                <w:sz w:val="24"/>
                <w:szCs w:val="24"/>
                <w:highlight w:val="none"/>
              </w:rPr>
            </w:pPr>
            <w:r>
              <w:rPr>
                <w:rFonts w:hint="eastAsia" w:ascii="仿宋_GB2312" w:hAnsi="仿宋" w:cs="Times New Roman"/>
                <w:kern w:val="0"/>
                <w:sz w:val="24"/>
                <w:szCs w:val="24"/>
                <w:highlight w:val="none"/>
              </w:rPr>
              <w:t>研发经费投入年均增速</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9.5</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完成省分解任务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Merge w:val="continue"/>
            <w:vAlign w:val="center"/>
          </w:tcPr>
          <w:p>
            <w:pPr>
              <w:widowControl/>
              <w:spacing w:line="240" w:lineRule="auto"/>
              <w:ind w:firstLine="0" w:firstLineChars="0"/>
              <w:jc w:val="center"/>
              <w:rPr>
                <w:rFonts w:ascii="黑体" w:hAnsi="黑体" w:eastAsia="黑体" w:cs="Times New Roman"/>
                <w:kern w:val="0"/>
                <w:sz w:val="24"/>
                <w:szCs w:val="24"/>
                <w:highlight w:val="none"/>
              </w:rPr>
            </w:pPr>
          </w:p>
        </w:tc>
        <w:tc>
          <w:tcPr>
            <w:tcW w:w="700" w:type="dxa"/>
            <w:vAlign w:val="center"/>
          </w:tcPr>
          <w:p>
            <w:pPr>
              <w:widowControl/>
              <w:spacing w:line="240" w:lineRule="auto"/>
              <w:ind w:firstLine="0" w:firstLineChars="0"/>
              <w:jc w:val="center"/>
              <w:rPr>
                <w:rFonts w:ascii="黑体" w:hAnsi="黑体" w:eastAsia="黑体" w:cs="Times New Roman"/>
                <w:kern w:val="0"/>
                <w:sz w:val="24"/>
                <w:szCs w:val="24"/>
                <w:highlight w:val="none"/>
              </w:rPr>
            </w:pPr>
            <w:r>
              <w:rPr>
                <w:rFonts w:hint="eastAsia" w:ascii="黑体" w:hAnsi="黑体" w:eastAsia="黑体" w:cs="Times New Roman"/>
                <w:kern w:val="0"/>
                <w:sz w:val="24"/>
                <w:szCs w:val="24"/>
                <w:highlight w:val="none"/>
              </w:rPr>
              <w:t>21</w:t>
            </w:r>
          </w:p>
        </w:tc>
        <w:tc>
          <w:tcPr>
            <w:tcW w:w="2883" w:type="dxa"/>
            <w:vAlign w:val="center"/>
          </w:tcPr>
          <w:p>
            <w:pPr>
              <w:widowControl/>
              <w:spacing w:line="360" w:lineRule="exact"/>
              <w:ind w:firstLine="0" w:firstLineChars="0"/>
              <w:jc w:val="left"/>
              <w:rPr>
                <w:rFonts w:ascii="仿宋_GB2312" w:hAnsi="仿宋" w:cs="Times New Roman"/>
                <w:kern w:val="0"/>
                <w:sz w:val="24"/>
                <w:szCs w:val="24"/>
                <w:highlight w:val="none"/>
              </w:rPr>
            </w:pPr>
            <w:r>
              <w:rPr>
                <w:rFonts w:hint="eastAsia" w:ascii="仿宋_GB2312" w:hAnsi="仿宋" w:cs="Times New Roman"/>
                <w:kern w:val="0"/>
                <w:sz w:val="24"/>
                <w:szCs w:val="24"/>
                <w:highlight w:val="none"/>
              </w:rPr>
              <w:t>家庭入户光纤覆盖率</w:t>
            </w:r>
          </w:p>
        </w:tc>
        <w:tc>
          <w:tcPr>
            <w:tcW w:w="1017"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8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w:t>
            </w:r>
          </w:p>
        </w:tc>
        <w:tc>
          <w:tcPr>
            <w:tcW w:w="1050"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95</w:t>
            </w:r>
          </w:p>
        </w:tc>
        <w:tc>
          <w:tcPr>
            <w:tcW w:w="1061" w:type="dxa"/>
            <w:vAlign w:val="center"/>
          </w:tcPr>
          <w:p>
            <w:pPr>
              <w:widowControl/>
              <w:spacing w:line="240" w:lineRule="auto"/>
              <w:ind w:firstLine="0" w:firstLineChars="0"/>
              <w:jc w:val="center"/>
              <w:rPr>
                <w:rFonts w:ascii="仿宋_GB2312" w:hAnsi="仿宋" w:cs="Times New Roman"/>
                <w:kern w:val="0"/>
                <w:sz w:val="24"/>
                <w:szCs w:val="24"/>
                <w:highlight w:val="none"/>
              </w:rPr>
            </w:pPr>
            <w:r>
              <w:rPr>
                <w:rFonts w:hint="eastAsia" w:ascii="仿宋_GB2312" w:hAnsi="仿宋" w:cs="Times New Roman"/>
                <w:kern w:val="0"/>
                <w:sz w:val="24"/>
                <w:szCs w:val="24"/>
                <w:highlight w:val="none"/>
              </w:rPr>
              <w:t>100</w:t>
            </w:r>
          </w:p>
        </w:tc>
      </w:tr>
    </w:tbl>
    <w:p>
      <w:pPr>
        <w:spacing w:after="217" w:afterLines="50"/>
        <w:ind w:firstLine="640"/>
        <w:rPr>
          <w:rFonts w:ascii="仿宋_GB2312" w:hAnsi="仿宋"/>
          <w:bCs/>
          <w:szCs w:val="32"/>
          <w:highlight w:val="none"/>
        </w:rPr>
      </w:pPr>
    </w:p>
    <w:p>
      <w:pPr>
        <w:pStyle w:val="2"/>
        <w:rPr>
          <w:highlight w:val="none"/>
        </w:rPr>
      </w:pPr>
      <w:bookmarkStart w:id="16" w:name="_Toc85464057"/>
      <w:bookmarkStart w:id="17" w:name="_Toc88552438"/>
      <w:bookmarkStart w:id="18" w:name="_Toc91488166"/>
      <w:r>
        <w:rPr>
          <w:rFonts w:hint="eastAsia"/>
          <w:highlight w:val="none"/>
        </w:rPr>
        <w:t>第二章 深入推进协同城镇化 高水平构建新型城镇化空间格局与布局</w:t>
      </w:r>
      <w:bookmarkEnd w:id="16"/>
      <w:bookmarkEnd w:id="17"/>
      <w:bookmarkEnd w:id="18"/>
    </w:p>
    <w:p>
      <w:pPr>
        <w:spacing w:before="217" w:beforeLines="50"/>
        <w:ind w:firstLine="640"/>
        <w:rPr>
          <w:highlight w:val="none"/>
        </w:rPr>
      </w:pPr>
      <w:r>
        <w:rPr>
          <w:rFonts w:hint="eastAsia" w:ascii="仿宋_GB2312" w:hAnsi="Calibri" w:cs="Times New Roman"/>
          <w:highlight w:val="none"/>
        </w:rPr>
        <w:t>健全区域协调发展体制机制，落实国家、省重大区域和主体功能区战略，构建高质量发展的国土空间布局和支撑体系，全面提升区域协调和城乡统筹水平。</w:t>
      </w:r>
    </w:p>
    <w:p>
      <w:pPr>
        <w:pStyle w:val="3"/>
        <w:spacing w:before="240" w:after="240"/>
        <w:rPr>
          <w:highlight w:val="none"/>
        </w:rPr>
      </w:pPr>
      <w:bookmarkStart w:id="19" w:name="_Toc91488167"/>
      <w:bookmarkStart w:id="20" w:name="_Toc88552439"/>
      <w:r>
        <w:rPr>
          <w:rFonts w:hint="eastAsia"/>
          <w:highlight w:val="none"/>
        </w:rPr>
        <w:t>第一节 融入与落实国家和省重大区域发展战略</w:t>
      </w:r>
      <w:bookmarkEnd w:id="19"/>
      <w:bookmarkEnd w:id="20"/>
    </w:p>
    <w:p>
      <w:pPr>
        <w:ind w:firstLine="640"/>
        <w:rPr>
          <w:rFonts w:ascii="仿宋_GB2312" w:hAnsi="Calibri" w:cs="Times New Roman"/>
          <w:highlight w:val="none"/>
        </w:rPr>
      </w:pPr>
      <w:r>
        <w:rPr>
          <w:rFonts w:hint="eastAsia" w:ascii="仿宋_GB2312" w:hAnsi="Calibri" w:cs="Times New Roman"/>
          <w:highlight w:val="none"/>
        </w:rPr>
        <w:t>高质量落实黄河流域生态保护和高质量发展、胶东经济圈一体化发展等战略部署，高水平参与京津冀协同发展、长三角一体化、粤港澳大湾区等战略合作，在全面融入国家、省区域战略中提升烟台城市能级，在烟威都市区同城化发展中提供示范样板。</w:t>
      </w:r>
    </w:p>
    <w:p>
      <w:pPr>
        <w:ind w:firstLine="640"/>
        <w:rPr>
          <w:rFonts w:ascii="仿宋_GB2312"/>
          <w:highlight w:val="none"/>
        </w:rPr>
      </w:pPr>
      <w:r>
        <w:rPr>
          <w:rFonts w:hint="eastAsia" w:ascii="楷体_GB2312" w:eastAsia="楷体_GB2312"/>
          <w:highlight w:val="none"/>
        </w:rPr>
        <w:t>打造黄河流域港口门户城市。</w:t>
      </w:r>
      <w:r>
        <w:rPr>
          <w:rFonts w:hint="eastAsia" w:ascii="仿宋_GB2312" w:hAnsi="Calibri" w:cs="Times New Roman"/>
          <w:highlight w:val="none"/>
        </w:rPr>
        <w:t>发挥港口综合优势，完善大物流、大通道、大信息布局，提升现代化基础设施和集疏运体系，发展海铁公多式联运，推进与沿黄省区的配套联动、互联互通，共同打造东联日韩、西接亚欧的国际物流综合枢纽。提升烟台蓬莱国际机场的综合承载能力，加密与沿黄省区的航班航线，建设面向亚太开放的区域枢纽机场，积极创建国家（烟台）临空经济示范区。依托平台型龙头企业和园区，以产业链为纽带，建设一批产业共同体，共建黄河现代化产业合作示范带。</w:t>
      </w:r>
    </w:p>
    <w:p>
      <w:pPr>
        <w:ind w:firstLine="640"/>
        <w:rPr>
          <w:rFonts w:ascii="仿宋_GB2312"/>
          <w:highlight w:val="none"/>
        </w:rPr>
      </w:pPr>
      <w:r>
        <w:rPr>
          <w:rFonts w:hint="eastAsia" w:ascii="楷体_GB2312" w:eastAsia="楷体_GB2312"/>
          <w:highlight w:val="none"/>
        </w:rPr>
        <w:t>打造胶东经济圈重要增长极。</w:t>
      </w:r>
      <w:r>
        <w:rPr>
          <w:rFonts w:hint="eastAsia" w:ascii="仿宋_GB2312" w:hAnsi="Calibri" w:cs="Times New Roman"/>
          <w:highlight w:val="none"/>
        </w:rPr>
        <w:t>强化烟台市新旧动能转换综合试验区核心城市功能，打造面向东北亚开放合作新高地，建设质效双优的制造业强市、富有特色的海洋经济大市、充满活力的宜业宜居宜游城市和全国清洁能源发展桥头堡，建设更具影响力的现代化国际滨海城市。突出中心城市在新旧动能转换中的核心引领地位，加快城市功能完善与产业有机更新，促进各区域特色发展、创新发展、融合发展，全方位提升城市品质和现代化水平，增强城市综合承载能力和辐射带动力，打造全市新旧动能转换核心区、引领极。支持莱阳、莱西建设一体化发展先行示范区，形成一批可复制可推广的区域融合创新发展新模式新成果，为全省区域经济发展提供烟台路径。</w:t>
      </w:r>
    </w:p>
    <w:p>
      <w:pPr>
        <w:ind w:firstLine="640"/>
        <w:rPr>
          <w:rFonts w:ascii="仿宋_GB2312"/>
          <w:highlight w:val="none"/>
        </w:rPr>
      </w:pPr>
      <w:r>
        <w:rPr>
          <w:rFonts w:hint="eastAsia" w:ascii="楷体_GB2312" w:eastAsia="楷体_GB2312"/>
          <w:highlight w:val="none"/>
        </w:rPr>
        <w:t>推进烟威都市区同城化发展。</w:t>
      </w:r>
      <w:r>
        <w:rPr>
          <w:rFonts w:hint="eastAsia" w:ascii="仿宋_GB2312" w:hAnsi="Calibri" w:cs="Times New Roman"/>
          <w:highlight w:val="none"/>
        </w:rPr>
        <w:t>借力山东半岛城市群东与日韩隔海相望，西引黄河流域，南北紧邻京津冀和长三角两大世界级城市群优势，将烟威都市区建设成为“一带一路”建设的重要节点、中日韩地方经济合作先行区、环渤海地区重要的高端装备制造基地，具有国际影响的滨海旅游度假胜地和高品质生态宜居区。以烟台市区、威海市区为核心，辐射带动周边栖霞、龙口、莱州、招远等中小城市发展，强化核心区产业互动、交通互联、平台共建、设施共享，整合提升沿海城镇发展带，促进滨海空间高效利用，加强烟台和威海港群分工与协作。强化胶东半岛丘陵地区的生态涵养功能，共同建设半岛中部生态核心区。</w:t>
      </w:r>
    </w:p>
    <w:p>
      <w:pPr>
        <w:pStyle w:val="3"/>
        <w:spacing w:before="240" w:after="240"/>
        <w:rPr>
          <w:highlight w:val="none"/>
        </w:rPr>
      </w:pPr>
      <w:bookmarkStart w:id="21" w:name="_Toc88552440"/>
      <w:bookmarkStart w:id="22" w:name="_Toc91488168"/>
      <w:r>
        <w:rPr>
          <w:rFonts w:hint="eastAsia"/>
          <w:highlight w:val="none"/>
        </w:rPr>
        <w:t>第二节 高水平构建新型城镇化总体格局</w:t>
      </w:r>
      <w:bookmarkEnd w:id="21"/>
      <w:bookmarkEnd w:id="22"/>
    </w:p>
    <w:p>
      <w:pPr>
        <w:ind w:firstLine="640"/>
        <w:rPr>
          <w:highlight w:val="none"/>
        </w:rPr>
      </w:pPr>
      <w:r>
        <w:rPr>
          <w:rFonts w:hint="eastAsia" w:ascii="仿宋_GB2312" w:hAnsi="Calibri" w:cs="Times New Roman"/>
          <w:highlight w:val="none"/>
        </w:rPr>
        <w:t>立足“一核三带多片区”的城镇化总体布局，统筹规划建设管理，坚持中心城区、县域、小城镇、美丽乡村“四级联动”，促进有序衔接、协调发展，推进以人为核心的新型城镇化，优化形成疏密有致、分工协作、功能完善的城镇化空间格局。</w:t>
      </w:r>
    </w:p>
    <w:p>
      <w:pPr>
        <w:ind w:firstLine="640"/>
        <w:rPr>
          <w:rFonts w:ascii="仿宋_GB2312"/>
          <w:highlight w:val="none"/>
        </w:rPr>
      </w:pPr>
      <w:r>
        <w:rPr>
          <w:rFonts w:hint="eastAsia" w:ascii="楷体_GB2312" w:eastAsia="楷体_GB2312"/>
          <w:highlight w:val="none"/>
        </w:rPr>
        <w:t>优化城镇化总体格局。</w:t>
      </w:r>
      <w:r>
        <w:rPr>
          <w:rFonts w:hint="eastAsia" w:ascii="仿宋_GB2312"/>
          <w:highlight w:val="none"/>
        </w:rPr>
        <w:t>强化烟台城市主中心和蓬莱副中心“一主一副”双驱动的城市发展核心区，加强中心城区与龙口市、招远市、莱州市的联系，构建北部沿海发展带，加强中心城区与栖霞市、莱阳市的联系，构建中部烟青发展带，加强海阳市与乳山市、即墨区的联系，构建南部沿海发展带。形成“一核三带多片区”的城镇化发展格局。</w:t>
      </w:r>
    </w:p>
    <w:p>
      <w:pPr>
        <w:ind w:firstLine="640"/>
        <w:rPr>
          <w:rFonts w:ascii="仿宋_GB2312"/>
          <w:highlight w:val="none"/>
        </w:rPr>
      </w:pPr>
      <w:bookmarkStart w:id="23" w:name="_Hlk85283357"/>
      <w:r>
        <w:rPr>
          <w:rFonts w:hint="eastAsia" w:ascii="楷体_GB2312" w:eastAsia="楷体_GB2312"/>
          <w:highlight w:val="none"/>
        </w:rPr>
        <w:t>构建市域城镇体系。</w:t>
      </w:r>
      <w:r>
        <w:rPr>
          <w:rFonts w:hint="eastAsia" w:ascii="仿宋_GB2312"/>
          <w:highlight w:val="none"/>
        </w:rPr>
        <w:t>规划形成“中心城市—县级中心城市—重点镇—一般镇”的市域城镇规模等级结构。</w:t>
      </w:r>
      <w:bookmarkEnd w:id="23"/>
      <w:r>
        <w:rPr>
          <w:rFonts w:hint="eastAsia" w:ascii="仿宋_GB2312"/>
          <w:highlight w:val="none"/>
        </w:rPr>
        <w:t>积极稳妥壮大城镇规模，形成合理有序的城镇规模等级结构。以烟台城市主中心为I级，龙口市、招远市、莱州市、莱阳市、海阳市、栖霞市县级中心城市为II级，北沟镇、诸由观镇等重点镇为III级，一般镇为IV级协调发展。加强莱阳市形成 “主城区、丁字湾滨海新区、2个重点镇+10个一般镇”三级城乡网络空间结构，龙口市形成“2主城区、2组团、3重点镇、4个一般镇”四级城镇体系，海阳市形成“一主、两副、多点”的三级城镇规模等级，栖霞市“1个中心城区、2个次中心、4个一般镇、9个中心社区、52个基层社区+20个城郊型社区”打造五级城乡结构。</w:t>
      </w:r>
    </w:p>
    <w:p>
      <w:pPr>
        <w:ind w:firstLine="640"/>
        <w:rPr>
          <w:rFonts w:ascii="仿宋_GB2312"/>
          <w:highlight w:val="none"/>
        </w:rPr>
      </w:pPr>
      <w:r>
        <w:rPr>
          <w:rFonts w:hint="eastAsia" w:ascii="楷体_GB2312" w:eastAsia="楷体_GB2312"/>
          <w:highlight w:val="none"/>
        </w:rPr>
        <w:t>坚持中心城区、县域、小城镇、美丽乡村“四级联动”。</w:t>
      </w:r>
      <w:r>
        <w:rPr>
          <w:rFonts w:hint="eastAsia" w:ascii="仿宋_GB2312"/>
          <w:highlight w:val="none"/>
        </w:rPr>
        <w:t>统筹规划建设管理，促进有序衔接、协调发展，推进以人为核心的新型城镇化，优化形成疏密有致、分工协作、功能完善的城镇化空间格局。加快完善城乡基础设施，超前布局道路、供水供电、信息网络、垃圾污水处理等设施，推动重要市政公用设施向城市郊区乡村和规模较大中心镇延伸。推进乡村公共服务一体化。强化农村公共服务供给县乡村统筹，加快推动形成县域统筹规划布局、县乡村功能衔接互补的公共服务体系，提升城乡公共服务均等化水平。以建成区为重点，统筹推进城镇村联动发展，引导建设面向社区、功能复合、便民惠民的邻里中心，构建舒适便捷、全域覆盖、层级叠加的 5/15/30 分钟生活圈体系。</w:t>
      </w:r>
    </w:p>
    <w:p>
      <w:pPr>
        <w:pStyle w:val="3"/>
        <w:spacing w:before="240" w:after="240"/>
        <w:rPr>
          <w:highlight w:val="none"/>
        </w:rPr>
      </w:pPr>
      <w:bookmarkStart w:id="24" w:name="_Toc88552441"/>
      <w:bookmarkStart w:id="25" w:name="_Toc91488169"/>
      <w:r>
        <w:rPr>
          <w:rFonts w:hint="eastAsia"/>
          <w:highlight w:val="none"/>
        </w:rPr>
        <w:t>第三节 发挥烟台中心城区龙头引领作用</w:t>
      </w:r>
      <w:bookmarkEnd w:id="24"/>
      <w:bookmarkEnd w:id="25"/>
    </w:p>
    <w:p>
      <w:pPr>
        <w:ind w:firstLine="640"/>
        <w:rPr>
          <w:highlight w:val="none"/>
        </w:rPr>
      </w:pPr>
      <w:r>
        <w:rPr>
          <w:rFonts w:hint="eastAsia" w:ascii="仿宋_GB2312" w:hAnsi="Calibri" w:cs="Times New Roman"/>
          <w:highlight w:val="none"/>
        </w:rPr>
        <w:t>做优做强中心城区，促进城市能级、城市品质提档升级。增强</w:t>
      </w:r>
      <w:r>
        <w:rPr>
          <w:rFonts w:ascii="仿宋_GB2312" w:hAnsi="Calibri" w:cs="Times New Roman"/>
          <w:highlight w:val="none"/>
        </w:rPr>
        <w:t>中心城市核心功能和辐射能级显著，打造胶东半岛城市群重要增长极</w:t>
      </w:r>
      <w:r>
        <w:rPr>
          <w:rFonts w:hint="eastAsia" w:ascii="仿宋_GB2312" w:hAnsi="Calibri" w:cs="Times New Roman"/>
          <w:highlight w:val="none"/>
        </w:rPr>
        <w:t>。</w:t>
      </w:r>
    </w:p>
    <w:p>
      <w:pPr>
        <w:ind w:firstLine="640"/>
        <w:rPr>
          <w:rFonts w:ascii="仿宋_GB2312"/>
          <w:highlight w:val="none"/>
        </w:rPr>
      </w:pPr>
      <w:r>
        <w:rPr>
          <w:rFonts w:hint="eastAsia" w:ascii="楷体_GB2312" w:eastAsia="楷体_GB2312"/>
          <w:highlight w:val="none"/>
        </w:rPr>
        <w:t>推动中心城区提能升级。</w:t>
      </w:r>
      <w:r>
        <w:rPr>
          <w:rFonts w:hint="eastAsia" w:ascii="仿宋_GB2312" w:hAnsi="Calibri" w:cs="Times New Roman"/>
          <w:highlight w:val="none"/>
        </w:rPr>
        <w:t>按照“治水、塑景、兴城”三位一体的思路，科学布局城镇建设、产业发展、基础设施、生态保护空间，统筹推进水系互通、海河互动、水城互融等工程，实现水系全面连通、海河联动开发，推动城市空间纵向上沿河延伸，增加城市纵深。强化芝罘区、莱山区中心城区综合服务核心功能，推动烟台经济技术开发区、福山区、蓬莱区、省级新区融合发展，打造西部沿海智造走廊，促进高新区、牟平区联动发展，打造东部沿海科创走廊，形成都市经济承载区。</w:t>
      </w:r>
    </w:p>
    <w:p>
      <w:pPr>
        <w:ind w:firstLine="640"/>
        <w:rPr>
          <w:rFonts w:ascii="仿宋_GB2312"/>
          <w:highlight w:val="none"/>
        </w:rPr>
      </w:pPr>
      <w:r>
        <w:rPr>
          <w:rFonts w:hint="eastAsia" w:ascii="楷体_GB2312" w:eastAsia="楷体_GB2312"/>
          <w:highlight w:val="none"/>
        </w:rPr>
        <w:t>提升中心城区首位度。</w:t>
      </w:r>
      <w:r>
        <w:rPr>
          <w:rFonts w:hint="eastAsia" w:ascii="仿宋_GB2312" w:hAnsi="Calibri" w:cs="Times New Roman"/>
          <w:highlight w:val="none"/>
        </w:rPr>
        <w:t>推进市区高质量一体化发展。推动滨海一带高品质整体提升，建设现代化国际滨海城市样板区、示范带。推动蓬长一体融合发展，深度融入中心城区，实现旅游互利共赢、交通互联互通、产业互促共进、公共服务互补互惠。推动芝罘湾、套子湾、四十里湾、蓬莱湾“四湾”联动开发，突出港产城融合、陆海岛统筹，拉开中心城区发展大框架，进一步提升中心城区聚集度、首位度和核心竞争力。贯通区际基础设施，加快蓬长一体化进程，高水平打造西部片区省级城乡融合发展试验区，高标准推进长岛综试区建设，启动临空经济区起步区建设。提高滨海旅游景区运营管理水平，提高养马岛至芝罘岛段一体化运营水平，启动芝罘岛至蓬莱阁段提升计划。</w:t>
      </w:r>
    </w:p>
    <w:p>
      <w:pPr>
        <w:ind w:firstLine="640"/>
        <w:rPr>
          <w:rFonts w:ascii="仿宋_GB2312"/>
          <w:highlight w:val="none"/>
        </w:rPr>
      </w:pPr>
      <w:r>
        <w:rPr>
          <w:rFonts w:hint="eastAsia" w:ascii="楷体_GB2312" w:eastAsia="楷体_GB2312"/>
          <w:highlight w:val="none"/>
        </w:rPr>
        <w:t>推进中心城区“12335”建设计划。</w:t>
      </w:r>
      <w:r>
        <w:rPr>
          <w:rFonts w:hint="eastAsia" w:ascii="仿宋_GB2312" w:hAnsi="Calibri" w:cs="Times New Roman"/>
          <w:highlight w:val="none"/>
        </w:rPr>
        <w:t>将芝罘区建设成为“最现代”“最生态”“最便利”的核心城区。全面突破芝罘区，让老城区焕发新活力。实施旧改攻坚行动，改造老旧片区，修缮老旧小区，完成已启动城郊居民区改造任务；实施园区“腾笼换鸟”攻坚行动，分类实施关停并转，腾退低效片区、盘活土地资源；实施产城融合攻坚行动，大力发展金融商贸、文化旅游、都市产业，壮大楼宇、总部、社区经济等新业态，建设消费中心、金融中心；实施功能品质提升攻坚行动，完善服务配套，保护文化遗产，精细管理城市，打造城市客厅。以滨海黄金旅游带和夹河生态景观带为主体，构建“拥湾携水，玉带连珠”的空间新格局。通过地下轨道交通环线、地上快速路环线、空中山海步道环线建设，落实“三环筑基”战略，建立“上下分离、快慢分离”的三环立体交通系统。以空港（蓬莱国际机场）、海港（蓬莱东港）、陆港（高铁烟台南站）三大枢纽建设为契机，构建便捷高效对外交通系统。以芝罘幸福新城、开发区八角湾新城、牟平新城、福山夹河新城、蓬莱新城5个区位优势明显、发展基础较好的新城起步区建设为着力点，培育形成“市级统筹、各区联动，上下一体、蓝图共绘”的发展新格局。</w:t>
      </w:r>
    </w:p>
    <w:p>
      <w:pPr>
        <w:pStyle w:val="3"/>
        <w:spacing w:before="240" w:after="240"/>
        <w:rPr>
          <w:highlight w:val="none"/>
        </w:rPr>
      </w:pPr>
      <w:bookmarkStart w:id="26" w:name="_Toc91488170"/>
      <w:bookmarkStart w:id="27" w:name="_Toc88552442"/>
      <w:r>
        <w:rPr>
          <w:rFonts w:hint="eastAsia"/>
          <w:highlight w:val="none"/>
        </w:rPr>
        <w:t>第四节 加强县城重要载体作用</w:t>
      </w:r>
      <w:bookmarkEnd w:id="26"/>
      <w:bookmarkEnd w:id="27"/>
    </w:p>
    <w:p>
      <w:pPr>
        <w:ind w:firstLine="640"/>
        <w:rPr>
          <w:highlight w:val="none"/>
        </w:rPr>
      </w:pPr>
      <w:r>
        <w:rPr>
          <w:rFonts w:hint="eastAsia" w:ascii="仿宋_GB2312" w:hAnsi="Calibri" w:cs="Times New Roman"/>
          <w:highlight w:val="none"/>
        </w:rPr>
        <w:t>加快转变县域经济发展方式，激发县域经济发展动力，提升在全国全省发展中的位次，走出各具特色的县域经济高质量发展之路，塑造县城引领乡镇、纵向分工协作的发展格局。</w:t>
      </w:r>
    </w:p>
    <w:p>
      <w:pPr>
        <w:ind w:firstLine="640"/>
        <w:rPr>
          <w:rFonts w:ascii="仿宋_GB2312"/>
          <w:highlight w:val="none"/>
        </w:rPr>
      </w:pPr>
      <w:r>
        <w:rPr>
          <w:rFonts w:hint="eastAsia" w:ascii="楷体_GB2312" w:eastAsia="楷体_GB2312"/>
          <w:highlight w:val="none"/>
        </w:rPr>
        <w:t>加快转变县域经济发展方式。</w:t>
      </w:r>
      <w:r>
        <w:rPr>
          <w:rFonts w:hint="eastAsia" w:ascii="仿宋_GB2312" w:hAnsi="Calibri" w:cs="Times New Roman"/>
          <w:highlight w:val="none"/>
        </w:rPr>
        <w:t>建立“促强扶弱带中间”机制，打造均衡发展、竞相发展、特色发展的县域经济主体板块。提升龙口、招远跨越发展能力，构建引领高质量发展的产业体系和创新体系，跻身全国全省县域经济发展第一方阵。提升莱州转型发展能力，加快从资源驱动向创新驱动转换，在传统产业开辟现代发展模式上探索新路径。提升莱阳、海阳融合发展能力，积极承接青岛等地产业转移。提升栖霞绿色发展能力，实施“生态+”战略，把生态资源优势转化为高质量发展优势。</w:t>
      </w:r>
    </w:p>
    <w:p>
      <w:pPr>
        <w:ind w:firstLine="640"/>
        <w:rPr>
          <w:rFonts w:ascii="仿宋_GB2312"/>
          <w:highlight w:val="none"/>
        </w:rPr>
      </w:pPr>
      <w:bookmarkStart w:id="28" w:name="_Hlk85283329"/>
      <w:r>
        <w:rPr>
          <w:rFonts w:hint="eastAsia" w:ascii="楷体_GB2312" w:eastAsia="楷体_GB2312"/>
          <w:highlight w:val="none"/>
        </w:rPr>
        <w:t>强化县域综合服务能力。</w:t>
      </w:r>
      <w:r>
        <w:rPr>
          <w:rFonts w:hint="eastAsia" w:ascii="仿宋_GB2312" w:hAnsi="Calibri" w:cs="Times New Roman"/>
          <w:highlight w:val="none"/>
        </w:rPr>
        <w:t>充分发挥龙口、招远、莱州、莱阳、海阳及栖霞城区在城乡融合发展的纽带作用，优化空间结构和功能布局，提高县城在县域城镇体系中的辐射带动能力。强化县城产业支撑，引导县域特色经济和农村二三产业向县城集聚，以农业园区、市民农庄等为载体，发展观光农业、乡村旅游、休闲康养等业态，搭建城乡产业协同发展平台。围绕公共服务设施提标扩面、环境卫生设施提级扩能、市政公用设施提档升级，加快补齐县城基础设施与公共服务短板弱项。统筹规划建设教育、医疗、养老、社区服务设施，扩大基本公共服务有效供给。</w:t>
      </w:r>
    </w:p>
    <w:p>
      <w:pPr>
        <w:ind w:firstLine="640"/>
        <w:rPr>
          <w:rFonts w:ascii="仿宋_GB2312"/>
          <w:highlight w:val="none"/>
        </w:rPr>
      </w:pPr>
      <w:r>
        <w:rPr>
          <w:rFonts w:hint="eastAsia" w:ascii="楷体_GB2312" w:eastAsia="楷体_GB2312"/>
          <w:highlight w:val="none"/>
        </w:rPr>
        <w:t>推进</w:t>
      </w:r>
      <w:bookmarkEnd w:id="28"/>
      <w:r>
        <w:rPr>
          <w:rFonts w:hint="eastAsia" w:ascii="楷体_GB2312" w:eastAsia="楷体_GB2312"/>
          <w:highlight w:val="none"/>
        </w:rPr>
        <w:t>以县城为重要载体的城镇化建设。</w:t>
      </w:r>
      <w:r>
        <w:rPr>
          <w:rFonts w:hint="eastAsia" w:ascii="仿宋_GB2312" w:hAnsi="Calibri" w:cs="Times New Roman"/>
          <w:highlight w:val="none"/>
        </w:rPr>
        <w:t>加快以县城为重要载体的城镇化建设，充分发挥县城在城乡融合发展的纽带作用，统筹安排生产、生活、生态空间，提高县城综合承载能力。龙口市，以兼容城镇化和逆城镇化为发展方向，引导乡村可持续发展，实现产业兴旺、生态宜居、乡风文明、治理有效、生活富裕的总要求，打造以“产业与生态共生共荣，城市与乡村互动互融”为主题的乡村振兴齐鲁样板示范市。莱阳市，加强实现农村剩余劳动力市民化、城乡公共服务一体化、户籍与土地制度突破和收入分配制度创新，同时扩大社会保障覆盖面，缩小城乡居民贫富差距，形成以主城区与丁字湾滨海新区为主体，小城镇与农村新型社区协同发展的新型城镇化格局。海阳市，形成“一主、两副、多点”的城镇规模等级，城区、徐家店、辛安形成综合职能，留格庄、行村形成工贸型职能，朱吴、盘石店形成农旅职能，其余镇形成农贸型职能。栖霞市，推进以中心城区为龙头、次中心城镇为依托、建制镇为基础的城镇体系建设，加快城区、桃村镇、栖霞经济开发区的产业集聚，逐步形成横向错位发展、纵向分工协作的发展格局，建立栖霞市“夼域单元”的特色乡村振兴模式。</w:t>
      </w:r>
    </w:p>
    <w:p>
      <w:pPr>
        <w:pStyle w:val="3"/>
        <w:spacing w:before="240" w:after="240"/>
        <w:rPr>
          <w:highlight w:val="none"/>
        </w:rPr>
      </w:pPr>
      <w:bookmarkStart w:id="29" w:name="_Toc88552443"/>
      <w:bookmarkStart w:id="30" w:name="_Toc91488171"/>
      <w:r>
        <w:rPr>
          <w:rFonts w:hint="eastAsia"/>
          <w:highlight w:val="none"/>
        </w:rPr>
        <w:t>第五节 促进新生小城市与特色小（城）镇健康协调发展</w:t>
      </w:r>
      <w:bookmarkEnd w:id="29"/>
      <w:bookmarkEnd w:id="30"/>
    </w:p>
    <w:p>
      <w:pPr>
        <w:ind w:firstLine="640"/>
        <w:rPr>
          <w:highlight w:val="none"/>
        </w:rPr>
      </w:pPr>
      <w:r>
        <w:rPr>
          <w:rFonts w:hint="eastAsia" w:ascii="仿宋_GB2312" w:hAnsi="Calibri" w:cs="Times New Roman"/>
          <w:highlight w:val="none"/>
        </w:rPr>
        <w:t>充分发挥小城镇在城乡融合中的纽带作用，统筹安排生产、生活、生态空间，优化空间结构和功能布局，增强产业支撑能力，着力把乡镇建成服务农民的区域中心，将小城镇打造成为农业转移人口就近城镇化的重要载体。</w:t>
      </w:r>
    </w:p>
    <w:p>
      <w:pPr>
        <w:ind w:firstLine="640"/>
        <w:rPr>
          <w:rFonts w:ascii="仿宋_GB2312"/>
          <w:highlight w:val="none"/>
        </w:rPr>
      </w:pPr>
      <w:r>
        <w:rPr>
          <w:rFonts w:hint="eastAsia" w:ascii="楷体_GB2312" w:eastAsia="楷体_GB2312"/>
          <w:highlight w:val="none"/>
        </w:rPr>
        <w:t>加快培育新生小城市。</w:t>
      </w:r>
      <w:r>
        <w:rPr>
          <w:rFonts w:hint="eastAsia" w:ascii="仿宋_GB2312" w:hAnsi="Calibri" w:cs="Times New Roman"/>
          <w:highlight w:val="none"/>
        </w:rPr>
        <w:t>加快推进新生小城市试点培育，培育镇区人口过10万、地方财政收入过10亿元的新生小城市。围绕强化产业就业支撑、健全设施体系、完善城市功能、提升治理水平等方面，分类施策、精准推进，加快小城镇向小城市转化。深化提供精准服务，支持试点镇的产业和基础设施、社会事业、生态环境项目优先纳入重点项目，不断提升试点镇城市能级，加快实现向小城市的转型发展。合理确定新生小城市、重点示范镇建设用地规模，提高产业和人口承载能力。充分尊重农民意愿，合理引导村（居）人口向县城、小城镇周边集聚，推进农业转移人口就地就近市民化。</w:t>
      </w:r>
    </w:p>
    <w:p>
      <w:pPr>
        <w:ind w:firstLine="640"/>
        <w:rPr>
          <w:rFonts w:ascii="仿宋_GB2312"/>
          <w:highlight w:val="none"/>
        </w:rPr>
      </w:pPr>
      <w:r>
        <w:rPr>
          <w:rFonts w:hint="eastAsia" w:ascii="楷体_GB2312" w:eastAsia="楷体_GB2312"/>
          <w:highlight w:val="none"/>
        </w:rPr>
        <w:t>推动特色小城镇健康发展。</w:t>
      </w:r>
      <w:r>
        <w:rPr>
          <w:rFonts w:hint="eastAsia" w:ascii="仿宋_GB2312" w:hAnsi="Calibri" w:cs="Times New Roman"/>
          <w:highlight w:val="none"/>
        </w:rPr>
        <w:t>开展小城镇试点建设，培育发展卫星镇，遴选一批大城市周边的小城镇，积极对接城市需求，承接城市发展外溢红利。发展条件较好且特色鲜明的小城镇，应积极参与区域地域分工。当前以致今后一段时间内发展动力不足的小城镇，其主要功能定位应以服务本地居民为主，加强生活居住环境改善，淡化产业要求。精心打造专业功能镇，加强对占据区位优势或具备独特资源的小城镇的政策保障和市场化运作水平。增强试点带动，增强产业集聚性，打造经济高质量发展的新平台、新型城镇化建设的新空间、城乡融合发展的新支点、传统文化传承保护的新载体。</w:t>
      </w:r>
    </w:p>
    <w:p>
      <w:pPr>
        <w:ind w:firstLine="640"/>
        <w:rPr>
          <w:rFonts w:ascii="仿宋_GB2312"/>
          <w:highlight w:val="none"/>
        </w:rPr>
      </w:pPr>
      <w:r>
        <w:rPr>
          <w:rFonts w:hint="eastAsia" w:ascii="楷体_GB2312" w:eastAsia="楷体_GB2312"/>
          <w:highlight w:val="none"/>
        </w:rPr>
        <w:t>推进特色小镇2.0版建设。</w:t>
      </w:r>
      <w:r>
        <w:rPr>
          <w:rFonts w:hint="eastAsia" w:ascii="仿宋_GB2312" w:hAnsi="Calibri" w:cs="Times New Roman"/>
          <w:highlight w:val="none"/>
        </w:rPr>
        <w:t>特色小镇2.0更加注重产业协同、创新协同、区域协同、治理协同，全力打造以“构建多主体协同、多要素联动”的产业发展生态。推进2个国家级特色小镇（蓬莱刘家沟葡萄酒小镇、招远玲珑黄金小镇），12个省级特色小镇（牟平龙泉养生小镇等），11个市级特色小镇（芝罘区卧龙1861文化创意小镇等）迭代升级。保护特色景观资源，将美丽资源转化为“美丽经济”。因地制宜培育特色小镇创新创业生态，提高就业吸纳能力。依据特色小镇主导产业发展需求，完善公共性、平台性产业配套设施，惠及更多市场主体。</w:t>
      </w:r>
    </w:p>
    <w:p>
      <w:pPr>
        <w:ind w:firstLine="640"/>
        <w:rPr>
          <w:rFonts w:ascii="仿宋_GB2312"/>
          <w:highlight w:val="none"/>
        </w:rPr>
      </w:pPr>
      <w:bookmarkStart w:id="31" w:name="_Hlk85283384"/>
      <w:r>
        <w:rPr>
          <w:rFonts w:hint="eastAsia" w:ascii="楷体_GB2312" w:eastAsia="楷体_GB2312"/>
          <w:highlight w:val="none"/>
        </w:rPr>
        <w:t>提升美丽乡村建设水平。</w:t>
      </w:r>
      <w:r>
        <w:rPr>
          <w:rFonts w:hint="eastAsia" w:ascii="仿宋_GB2312" w:hAnsi="Calibri" w:cs="Times New Roman"/>
          <w:highlight w:val="none"/>
        </w:rPr>
        <w:t>深入开展新时代美丽宜居乡村建设，不断提升美丽乡村建设整体水平。完善乡村水、电、路、气、通信、广播电视、物流（快递）等基础设施，健全运营管护长效机制。持续改善农村人居环境，因地制宜推进农村清洁取暖、厕所革命、生活垃圾处理和污水治理，健全人居环境整治长效机制。高标准推进福山区门楼镇院口村等41个村庄创建省级示范村工作，坚持高标准设计试点建设方案、分类施策保护修缮村居建筑、功能与美观相结合提升配套环境。注重凸显乡村文化特色、地域特色，打造滨海特色型、平原乡土型、自然山水型、特色文化型四类胶东特色风貌村庄，打造乡村振兴烟台模式</w:t>
      </w:r>
      <w:r>
        <w:rPr>
          <w:rStyle w:val="49"/>
          <w:rFonts w:hint="eastAsia" w:ascii="仿宋_GB2312"/>
          <w:color w:val="000000"/>
          <w:highlight w:val="none"/>
        </w:rPr>
        <w:t>。</w:t>
      </w:r>
    </w:p>
    <w:bookmarkEnd w:id="31"/>
    <w:p>
      <w:pPr>
        <w:pStyle w:val="3"/>
        <w:spacing w:before="240" w:after="240"/>
        <w:rPr>
          <w:highlight w:val="none"/>
        </w:rPr>
      </w:pPr>
      <w:bookmarkStart w:id="32" w:name="_Toc88552444"/>
      <w:bookmarkStart w:id="33" w:name="_Toc91488172"/>
      <w:r>
        <w:rPr>
          <w:rFonts w:hint="eastAsia"/>
          <w:highlight w:val="none"/>
        </w:rPr>
        <w:t>第六节 构建高效协同的现代交通体系</w:t>
      </w:r>
      <w:bookmarkEnd w:id="32"/>
      <w:bookmarkEnd w:id="33"/>
    </w:p>
    <w:p>
      <w:pPr>
        <w:ind w:firstLine="640"/>
        <w:rPr>
          <w:highlight w:val="none"/>
        </w:rPr>
      </w:pPr>
      <w:r>
        <w:rPr>
          <w:rFonts w:hint="eastAsia" w:ascii="仿宋_GB2312" w:hAnsi="Calibri" w:cs="Times New Roman"/>
          <w:highlight w:val="none"/>
        </w:rPr>
        <w:t>强化综合交通枢纽与城市功能布局的协调，构建以空港、海港、陆港枢纽为基础的综合交通枢纽框架，延伸辐射范围，提升战略保障功能和服务能力。加强轨道站点、火车站、高铁站与机场、港口码头、公路客运站等设施的无缝衔接，实现旅客便捷中转换乘。</w:t>
      </w:r>
    </w:p>
    <w:p>
      <w:pPr>
        <w:ind w:firstLine="640"/>
        <w:rPr>
          <w:rFonts w:ascii="仿宋_GB2312"/>
          <w:highlight w:val="none"/>
        </w:rPr>
      </w:pPr>
      <w:r>
        <w:rPr>
          <w:rFonts w:hint="eastAsia" w:ascii="楷体_GB2312" w:eastAsia="楷体_GB2312"/>
          <w:highlight w:val="none"/>
        </w:rPr>
        <w:t>优化港口格局。</w:t>
      </w:r>
      <w:r>
        <w:rPr>
          <w:rFonts w:hint="eastAsia" w:ascii="仿宋_GB2312"/>
          <w:highlight w:val="none"/>
        </w:rPr>
        <w:t>优化整合港口资源，在现有“一港十区”基础上，整合西部港群、中部港群、东部港群和南部港群四大港群，统筹功能配置，构建各具特色、层次分明的现代化大型港口集群。继续开发建设西港区，转移芝罘港区大宗散货运输功能，缓解港城矛盾；构建蓬莱港区、海阳港区、栾家口港区等中小港区以服务地方经济发展为主、适度发展的总体格局。推进芝罘湾港区客滚中心建设；加快老码头改造和旅游码头、邮轮码头、游艇基地建设，加快航运服务中心建设；适时启动芝罘湾城市化改造，加快龙口、莱州港区码头建设，加快蓬莱东港区滚装码头建设；加快海阳港区、栾家口港区临港工业服务码头建设；统筹烟台港公用码头和战备滚装码头发展建设。</w:t>
      </w:r>
    </w:p>
    <w:p>
      <w:pPr>
        <w:ind w:firstLine="640"/>
        <w:rPr>
          <w:rFonts w:ascii="仿宋_GB2312"/>
          <w:highlight w:val="none"/>
        </w:rPr>
      </w:pPr>
      <w:r>
        <w:rPr>
          <w:rFonts w:hint="eastAsia" w:ascii="楷体_GB2312" w:eastAsia="楷体_GB2312"/>
          <w:highlight w:val="none"/>
        </w:rPr>
        <w:t>提升航空枢纽功能和服务能级。</w:t>
      </w:r>
      <w:r>
        <w:rPr>
          <w:rFonts w:hint="eastAsia" w:ascii="仿宋_GB2312"/>
          <w:highlight w:val="none"/>
        </w:rPr>
        <w:t>市域范围内布局形成“1+8”的机场体系。保留并扩建蓬莱国际机场，完善蓬莱国际机场与国内外主要城市的航线网络，打造国内航空快线，积极培育国际航线。有效加强机场与铁路网络的衔接，加快推进城市轨道建设，结合机场设置换乘站点；完善周边高速公路和城市主干路网络，提高机场集疏运能力。改造优化路网结构，加强区域与西港区、铁路站场、高速公路的联系，建设机场周边高效周转换乘系统。在市区边缘和外围主要区市统筹布局通用机场，增强通用航空保障设施能力和服务水平。加快建设栖霞、蓬莱、长岛通用机场，研究启动建设高新区金山湾、莱州、招远、龙口等通用机场。</w:t>
      </w:r>
    </w:p>
    <w:p>
      <w:pPr>
        <w:ind w:firstLine="640"/>
        <w:rPr>
          <w:rFonts w:ascii="仿宋_GB2312"/>
          <w:highlight w:val="none"/>
        </w:rPr>
      </w:pPr>
      <w:r>
        <w:rPr>
          <w:rFonts w:hint="eastAsia" w:ascii="楷体_GB2312" w:eastAsia="楷体_GB2312"/>
          <w:highlight w:val="none"/>
        </w:rPr>
        <w:t>完善区域客运交通枢纽规划。</w:t>
      </w:r>
      <w:r>
        <w:rPr>
          <w:rFonts w:hint="eastAsia" w:ascii="仿宋_GB2312"/>
          <w:highlight w:val="none"/>
        </w:rPr>
        <w:t>加快综合客运枢纽建设，构建多层次的客运枢纽体系，提高客运、零距离、换乘水平，有效提高客运服务能力和质量。规划烟台站综合换乘枢纽、烟台南站综合换乘枢纽、蓬莱机场综合换乘枢纽、蓬莱跨海通道综合换乘枢纽四处大型综合换乘枢纽，主要服务烟台市区域性对外交通出行。规划龙口换乘枢纽、海阳北站换乘枢纽、莱阳换乘枢纽、栖霞桃村换乘枢纽、牟平换乘枢纽、长岛换乘枢纽、蓬莱西港换乘枢纽、招远换乘枢纽、莱州换乘枢纽9处换乘枢纽，完善各区市重要的对外交通门户。</w:t>
      </w:r>
    </w:p>
    <w:p>
      <w:pPr>
        <w:ind w:firstLine="640"/>
        <w:rPr>
          <w:rFonts w:ascii="仿宋_GB2312"/>
          <w:highlight w:val="none"/>
        </w:rPr>
      </w:pPr>
      <w:r>
        <w:rPr>
          <w:rFonts w:hint="eastAsia" w:ascii="楷体_GB2312" w:eastAsia="楷体_GB2312"/>
          <w:highlight w:val="none"/>
        </w:rPr>
        <w:t>逐步完善物流设施体系。</w:t>
      </w:r>
      <w:r>
        <w:rPr>
          <w:rFonts w:hint="eastAsia" w:ascii="仿宋_GB2312"/>
          <w:highlight w:val="none"/>
        </w:rPr>
        <w:t>大力发展多式联运。优化调整运输结构，大力发展公铁联运、海铁联运、空陆联运等多式联运方式。对接中欧班列，构建一条连通欧洲-中国-日韩的海铁联运大通道。依托烟台至大连海上“黄金水道”，继续打造环渤海鲁辽公铁水滚装联运、烟台港陆海联动集装箱公海铁多式联运等示范工程。鼓励货运发展新业态。借助互联网和大数据优势，促使货运全往互联互通，有效的促进资源整合和集约发展、提升物流运输的组织效率。</w:t>
      </w:r>
    </w:p>
    <w:p>
      <w:pPr>
        <w:pStyle w:val="2"/>
        <w:rPr>
          <w:highlight w:val="none"/>
        </w:rPr>
      </w:pPr>
      <w:r>
        <w:rPr>
          <w:rFonts w:ascii="仿宋_GB2312"/>
          <w:highlight w:val="none"/>
        </w:rPr>
        <w:br w:type="page"/>
      </w:r>
      <w:bookmarkStart w:id="34" w:name="_Toc88552450"/>
      <w:bookmarkStart w:id="35" w:name="_Toc91488173"/>
      <w:r>
        <w:rPr>
          <w:rFonts w:hint="eastAsia"/>
          <w:highlight w:val="none"/>
        </w:rPr>
        <w:t>第三章 深入推进绿色城镇化 高品质打造以人民为中心的未来城市</w:t>
      </w:r>
      <w:bookmarkEnd w:id="34"/>
      <w:bookmarkEnd w:id="35"/>
    </w:p>
    <w:p>
      <w:pPr>
        <w:ind w:firstLine="640"/>
        <w:rPr>
          <w:rFonts w:ascii="仿宋_GB2312" w:hAnsi="Calibri" w:cs="Times New Roman"/>
          <w:highlight w:val="none"/>
        </w:rPr>
      </w:pPr>
    </w:p>
    <w:p>
      <w:pPr>
        <w:spacing w:line="580" w:lineRule="exact"/>
        <w:ind w:firstLine="630" w:firstLineChars="0"/>
        <w:rPr>
          <w:rFonts w:ascii="Times New Roman" w:hAnsi="Times New Roman" w:cs="Times New Roman"/>
          <w:szCs w:val="34"/>
          <w:highlight w:val="none"/>
        </w:rPr>
      </w:pPr>
      <w:bookmarkStart w:id="36" w:name="_Toc85454312"/>
      <w:bookmarkStart w:id="37" w:name="_Toc85456194"/>
      <w:bookmarkStart w:id="38" w:name="_Toc88552464"/>
      <w:bookmarkStart w:id="39" w:name="_Toc88552451"/>
      <w:r>
        <w:rPr>
          <w:rFonts w:hint="eastAsia" w:ascii="仿宋_GB2312" w:hAnsi="仿宋" w:cs="Times New Roman"/>
          <w:bCs/>
          <w:szCs w:val="24"/>
          <w:highlight w:val="none"/>
        </w:rPr>
        <w:t>将碳达峰、碳中和目标纳入城乡发展整体布局，全力打造低碳转型新样本，发挥规划约束和导向作用，坚持人与自然和谐共生，建设生态宜居、魅力多彩、安全韧性、绿色低碳的现代宜居城乡。</w:t>
      </w:r>
    </w:p>
    <w:bookmarkEnd w:id="36"/>
    <w:bookmarkEnd w:id="37"/>
    <w:bookmarkEnd w:id="38"/>
    <w:p>
      <w:pPr>
        <w:pStyle w:val="3"/>
        <w:rPr>
          <w:highlight w:val="none"/>
        </w:rPr>
      </w:pPr>
      <w:bookmarkStart w:id="40" w:name="_Toc91488174"/>
      <w:r>
        <w:rPr>
          <w:rFonts w:hint="eastAsia"/>
          <w:highlight w:val="none"/>
        </w:rPr>
        <w:t>第一节 创建碳中和“先锋城市”</w:t>
      </w:r>
      <w:bookmarkEnd w:id="40"/>
    </w:p>
    <w:p>
      <w:pPr>
        <w:ind w:firstLine="640"/>
        <w:rPr>
          <w:highlight w:val="none"/>
        </w:rPr>
      </w:pPr>
      <w:r>
        <w:rPr>
          <w:rFonts w:hint="eastAsia" w:ascii="仿宋_GB2312" w:hAnsi="Calibri" w:cs="Times New Roman"/>
          <w:highlight w:val="none"/>
        </w:rPr>
        <w:t>将碳达峰、碳中和目标纳入城市发展整体布局，加快形成集约紧凑低碳的城市发展模式、产业结构和生活方式，创建国家级碳达峰碳中和示范区，全力打造低碳转型新样本，努力实现“双碳”新赛道上的换道超车。</w:t>
      </w:r>
    </w:p>
    <w:p>
      <w:pPr>
        <w:ind w:firstLine="640"/>
        <w:rPr>
          <w:rFonts w:ascii="仿宋_GB2312"/>
          <w:highlight w:val="none"/>
        </w:rPr>
      </w:pPr>
      <w:r>
        <w:rPr>
          <w:rFonts w:hint="eastAsia" w:ascii="楷体_GB2312" w:eastAsia="楷体_GB2312"/>
          <w:highlight w:val="none"/>
        </w:rPr>
        <w:t>创建国家级碳达峰碳中和示范区。</w:t>
      </w:r>
      <w:r>
        <w:rPr>
          <w:rFonts w:hint="eastAsia" w:ascii="仿宋_GB2312" w:hAnsi="Calibri" w:cs="Times New Roman"/>
          <w:highlight w:val="none"/>
        </w:rPr>
        <w:t>全面开展烟台“双碳”摸底调查和“双碳”发展规划与实现路径研究，聚焦碳减排、碳零排、碳负排三大碳中和技术领域，编制碳中和技术路线图。按照“发挥优势、突出重点、彰显特色”原则，全方位推进绿色低碳示范，打造一批试验区，营造一批应用场景，建设一批重点工程，开展“一谷一区一岛一港”建设先行示范引领。成立碳中和发展集团，组建“双碳”产业发展基金，积极申报国家碳中和试点城市。着力争取烟台成为国家碳达峰碳中和国际论坛永久举办地。</w:t>
      </w:r>
    </w:p>
    <w:p>
      <w:pPr>
        <w:ind w:firstLine="640"/>
        <w:rPr>
          <w:rFonts w:ascii="仿宋_GB2312"/>
          <w:highlight w:val="none"/>
        </w:rPr>
      </w:pPr>
      <w:r>
        <w:rPr>
          <w:rFonts w:hint="eastAsia" w:ascii="楷体_GB2312" w:eastAsia="楷体_GB2312"/>
          <w:highlight w:val="none"/>
        </w:rPr>
        <w:t>打造国家清洁能源示范城市。</w:t>
      </w:r>
      <w:r>
        <w:rPr>
          <w:rFonts w:hint="eastAsia" w:ascii="仿宋_GB2312" w:hAnsi="Calibri" w:cs="Times New Roman"/>
          <w:highlight w:val="none"/>
        </w:rPr>
        <w:t>构建清洁低碳的绿色能源体系，持续推动生产制造、农业生产、商业餐饮、家庭电气化等领域电能替代。到2035年，全市能源消费结构进一步优化，清洁能源占全市能源消费总量的比重稳步上升，完成省下达可再生能源电力消纳责任权重任务。严控化石能源发展，推进全域减煤。开展与日韩清洁能源产业技术交流和重大项目合作，集中引进一批清洁能源总部、研发机构，打造国家清洁能源技术创新策源地、国内绿色低碳产业发展新高地。以核能、风电为主要突破口，依托海阳核能、蓬莱风电等项目，促进清洁能源集聚发展、链式发展。加快谋划布局氢能产业，建设中国氢能基地。</w:t>
      </w:r>
    </w:p>
    <w:p>
      <w:pPr>
        <w:ind w:firstLine="640"/>
        <w:rPr>
          <w:rFonts w:ascii="仿宋_GB2312"/>
          <w:highlight w:val="none"/>
        </w:rPr>
      </w:pPr>
      <w:r>
        <w:rPr>
          <w:rFonts w:hint="eastAsia" w:ascii="楷体_GB2312" w:eastAsia="楷体_GB2312"/>
          <w:highlight w:val="none"/>
        </w:rPr>
        <w:t>推进绿色低碳领域技术和金融创新。</w:t>
      </w:r>
      <w:r>
        <w:rPr>
          <w:rFonts w:hint="eastAsia" w:ascii="仿宋_GB2312" w:hAnsi="Calibri" w:cs="Times New Roman"/>
          <w:highlight w:val="none"/>
        </w:rPr>
        <w:t>推动构建“产学研用”一体的低碳技术创新体系，加强与国内高校院所和央企大企合作，组建碳中和研究院。加强低碳、零碳和负碳技术的创新研发。积极拓宽城市公共交通、农业等碳排放权来源和实现形式，进一步完善碳排放权交易市场建设。支持发展绿色信贷和绿色债券，调整完善银行绿色信贷政策和绿色债券发行监管政策，创新发展绿色资产证券化和绿色资产支持票据等产品。鼓励联合设立绿色低碳领域的产业投资基金，支持引导保险和社保等长期机构资金投资绿色低碳领域。</w:t>
      </w:r>
    </w:p>
    <w:p>
      <w:pPr>
        <w:ind w:firstLine="640"/>
        <w:rPr>
          <w:rFonts w:ascii="仿宋_GB2312"/>
          <w:highlight w:val="none"/>
        </w:rPr>
      </w:pPr>
      <w:r>
        <w:rPr>
          <w:rFonts w:hint="eastAsia" w:ascii="楷体_GB2312" w:eastAsia="楷体_GB2312"/>
          <w:highlight w:val="none"/>
        </w:rPr>
        <w:t>提高资源能源利用效率。</w:t>
      </w:r>
      <w:r>
        <w:rPr>
          <w:rFonts w:hint="eastAsia" w:ascii="仿宋_GB2312" w:hAnsi="Calibri" w:cs="Times New Roman"/>
          <w:highlight w:val="none"/>
        </w:rPr>
        <w:t>实行最严格的水资源管理制度，通过强化节水约束管理、严格用水定额管理、加强用水过程管理、强化节水监督，实现总量强度“双控”。推动区域再生水利用良性循环，加快发展海水淡化与综合利用产业。推广应用新型水煤浆技术及锅炉装备,推进煤炭清洁高效利用。以创建国家“无废城市”建设试点为导向，构建废旧物资循环利用体系。推行线上线下融合回收模式和生产企业“逆向回收”模式,推动固体废物减量化、无害化、资源化利用。加快形成政府推动、全民参与、法治保障、因地制宜的生活垃圾分类体系，实现生活垃圾分类全覆盖。</w:t>
      </w:r>
    </w:p>
    <w:p>
      <w:pPr>
        <w:ind w:firstLine="640"/>
        <w:rPr>
          <w:rFonts w:ascii="仿宋_GB2312"/>
          <w:highlight w:val="none"/>
        </w:rPr>
      </w:pPr>
      <w:r>
        <w:rPr>
          <w:rFonts w:hint="eastAsia" w:ascii="楷体_GB2312" w:eastAsia="楷体_GB2312"/>
          <w:highlight w:val="none"/>
        </w:rPr>
        <w:t>完善绿色发展制度体系。</w:t>
      </w:r>
      <w:r>
        <w:rPr>
          <w:rFonts w:hint="eastAsia" w:ascii="仿宋_GB2312" w:hAnsi="Calibri" w:cs="Times New Roman"/>
          <w:highlight w:val="none"/>
        </w:rPr>
        <w:t>探索建立区县层面碳排放基础数据库，建立减污降碳的统计监测体系和考核激励机制。深化自然资源资产产权制度改革，规范开展自然资源统一确权登记，建设自然资源确权登记信息数据库。探索建立生态系统生产总值（GEP）核算机制，开展长岛综试区、昆嵛山国家级自然保护区生态产品价值实现机制试点，探索政府主导、企业和社会各界参与、市场化运作、可持续的生态产品价值实现路径，争创国家“生态产品价值实现典型案例”。加快生态产品交易平台建设，探索政府购买生态产品机制。</w:t>
      </w:r>
    </w:p>
    <w:p>
      <w:pPr>
        <w:ind w:firstLine="640"/>
        <w:rPr>
          <w:rFonts w:ascii="仿宋_GB2312"/>
          <w:highlight w:val="none"/>
        </w:rPr>
      </w:pPr>
      <w:r>
        <w:rPr>
          <w:rFonts w:hint="eastAsia" w:ascii="楷体_GB2312" w:eastAsia="楷体_GB2312"/>
          <w:highlight w:val="none"/>
        </w:rPr>
        <w:t>加快形成绿色低碳生产生活方式。</w:t>
      </w:r>
      <w:r>
        <w:rPr>
          <w:rFonts w:hint="eastAsia" w:ascii="仿宋_GB2312" w:hAnsi="Calibri" w:cs="Times New Roman"/>
          <w:highlight w:val="none"/>
        </w:rPr>
        <w:t>加快对电力、钢铁、有色金属、石化化工、建材、建筑等高耗能、高碳排放行业企业实施节能和减碳技术改造。推动交通运输方式低碳转型持续降低运输能耗和碳排放强度，扩大电力、氢能、天然气等清洁能源在交通领域的应用，全面推广新能源汽车。持续提升建筑能效水平，积极推进绿色建筑、绿色建造、超低能耗建筑和装配式建筑。有计划地实施既有建筑节能改造，新建建筑全面落实绿色建筑标准。推广简约适度、绿色低碳生活方式。构建以政策鼓励、商业鼓励和碳减排量交易相结合的碳惠普引导机制，通过公众碳减排积分奖励，积极引导小微企业、社区、家庭和个人的节能减碳行动。</w:t>
      </w:r>
    </w:p>
    <w:p>
      <w:pPr>
        <w:pStyle w:val="3"/>
        <w:rPr>
          <w:highlight w:val="none"/>
        </w:rPr>
      </w:pPr>
      <w:bookmarkStart w:id="41" w:name="_Toc91488175"/>
      <w:r>
        <w:rPr>
          <w:rFonts w:hint="eastAsia"/>
          <w:highlight w:val="none"/>
        </w:rPr>
        <w:t xml:space="preserve">第二节 </w:t>
      </w:r>
      <w:bookmarkEnd w:id="39"/>
      <w:r>
        <w:rPr>
          <w:rFonts w:hint="eastAsia"/>
          <w:highlight w:val="none"/>
        </w:rPr>
        <w:t>建设美丽和谐生态城市</w:t>
      </w:r>
      <w:bookmarkEnd w:id="41"/>
    </w:p>
    <w:p>
      <w:pPr>
        <w:ind w:firstLine="640"/>
        <w:rPr>
          <w:highlight w:val="none"/>
        </w:rPr>
      </w:pPr>
      <w:r>
        <w:rPr>
          <w:rFonts w:hint="eastAsia" w:ascii="仿宋_GB2312" w:hAnsi="Calibri" w:cs="Times New Roman"/>
          <w:highlight w:val="none"/>
        </w:rPr>
        <w:t>坚持人与自然和谐共生，以绿色生态打底，完善城市功能，改善人居环境，提高城市品质，呈现美丽生态与美丽人居交相辉映局面。</w:t>
      </w:r>
    </w:p>
    <w:p>
      <w:pPr>
        <w:ind w:firstLine="640"/>
        <w:rPr>
          <w:rFonts w:ascii="仿宋_GB2312"/>
          <w:highlight w:val="none"/>
        </w:rPr>
      </w:pPr>
      <w:r>
        <w:rPr>
          <w:rFonts w:hint="eastAsia" w:ascii="楷体_GB2312" w:eastAsia="楷体_GB2312"/>
          <w:highlight w:val="none"/>
        </w:rPr>
        <w:t>优化陆海生态安全格局。</w:t>
      </w:r>
      <w:r>
        <w:rPr>
          <w:rFonts w:hint="eastAsia" w:ascii="仿宋_GB2312" w:hAnsi="Calibri" w:cs="Times New Roman"/>
          <w:highlight w:val="none"/>
        </w:rPr>
        <w:t>构筑“一心两带五廊道多节点”的市域生态安全格局。打造以海洋类国家公园为引领，覆盖面积广、层级体系健全的自然保护地体系。严格落实生态红线管理制度，推动生态红线区分类管理、岸线分区管理。坚持陆海污染一体化治理，全面完成渤海入海排污口整治试点。实施“仙境海岸”养护行动，开展退围还海、退养还滩、受损岸线修复、海堤生态化治理等生态工程。加强船舶与港口污染管控，建立绿色船舶制度，推进渔港环境综合整治。实施海岸建筑退缩线制度，严控沿海新建建筑物。实施蓝色海湾治理工程，建设蓝色海湾生态整治国家级示范区。</w:t>
      </w:r>
    </w:p>
    <w:p>
      <w:pPr>
        <w:ind w:firstLine="640"/>
        <w:rPr>
          <w:rFonts w:ascii="仿宋_GB2312"/>
          <w:highlight w:val="none"/>
        </w:rPr>
      </w:pPr>
      <w:r>
        <w:rPr>
          <w:rFonts w:hint="eastAsia" w:ascii="楷体_GB2312" w:eastAsia="楷体_GB2312"/>
          <w:highlight w:val="none"/>
        </w:rPr>
        <w:t>打好生态环境质量持续改善攻坚战。</w:t>
      </w:r>
      <w:r>
        <w:rPr>
          <w:rFonts w:hint="eastAsia" w:ascii="仿宋_GB2312" w:hAnsi="Calibri" w:cs="Times New Roman"/>
          <w:highlight w:val="none"/>
        </w:rPr>
        <w:t>持续推进蓝天保卫战，强化细颗粒物和臭氧协同控制，到2025年，市区空气质量优良率达到80%以上。持续推进碧水保卫战，突出开展排污河流入海口整治，全面消除劣Ⅴ类国控断面和城市黑臭水体。加强工业水污染防治和中水回用，推进城镇污水收集处理设施及其配套管网建设。持续推进净土保卫战，全面完成土壤环境质量详查，对建设用地、农用地和未利用地实施分类分质管理，加快启动土壤风险管控和土壤修复工程建设。防范生态环境风险，加强环境安全隐患排查和整治。全面实行排污许可制，完善环境保护、节能减排约束性指标管理。</w:t>
      </w:r>
    </w:p>
    <w:p>
      <w:pPr>
        <w:ind w:firstLine="640"/>
        <w:rPr>
          <w:rFonts w:ascii="仿宋_GB2312"/>
          <w:highlight w:val="none"/>
        </w:rPr>
      </w:pPr>
      <w:r>
        <w:rPr>
          <w:rFonts w:hint="eastAsia" w:ascii="楷体_GB2312" w:eastAsia="楷体_GB2312"/>
          <w:highlight w:val="none"/>
        </w:rPr>
        <w:t>加快美丽烟台建设。</w:t>
      </w:r>
      <w:r>
        <w:rPr>
          <w:rFonts w:hint="eastAsia" w:ascii="仿宋_GB2312" w:hAnsi="Calibri" w:cs="Times New Roman"/>
          <w:highlight w:val="none"/>
        </w:rPr>
        <w:t>塑造烟台“山、海、城、岛”和谐相融的城市独特城市风貌，构建“以廊串珠、廊珠相辉”的公园城市格局，规划陆海多维公园结构，建设多极廊道体系。尊重、顺应、保护水资源、水环境、水生态，构建“碧水绕城、城水共生”空间发展格局。营造公众亲水空间，实施全域美丽河湖建设，提升山水城海相依的烟台风貌。加快高水平“美丽海湾”建设，打造鱼鸥翔集、烟波如画的城海交融海湾。完善城市生态绿地，因地制宜建设“街头绿地”、“口袋公园”、“山体公园”，到2035年，城市（县城）建成区绿化覆盖率达到43%左右。</w:t>
      </w:r>
    </w:p>
    <w:p>
      <w:pPr>
        <w:ind w:firstLine="640"/>
        <w:rPr>
          <w:rFonts w:ascii="仿宋_GB2312"/>
          <w:highlight w:val="none"/>
        </w:rPr>
      </w:pPr>
      <w:r>
        <w:rPr>
          <w:rFonts w:hint="eastAsia" w:ascii="楷体_GB2312" w:eastAsia="楷体_GB2312"/>
          <w:highlight w:val="none"/>
        </w:rPr>
        <w:t>持续推进城市有机更新。</w:t>
      </w:r>
      <w:r>
        <w:rPr>
          <w:rFonts w:hint="eastAsia" w:ascii="仿宋_GB2312" w:hAnsi="Calibri" w:cs="Times New Roman"/>
          <w:highlight w:val="none"/>
        </w:rPr>
        <w:t>推动老旧街区、小区等整治改造与城市的拆、整、建、美有机结合，系统增补健全、改造提升公共服务设施。统筹更新保护、留改拆并重，在消除城市安全隐患前提下，探索推进老旧社区“微拆迁”、“微改造” 模式。探索“城中村+创意”“城中村+文化”“城中村+产业”“城中村+科技”等多元化城中村改造模式，将城中村打造成为高质量发展的新平台。实施基础设施修缮、配套设施齐全、居民出行畅通、居住环境美化、居住条件改善等五大工程，推进老旧小区改造。</w:t>
      </w:r>
    </w:p>
    <w:p>
      <w:pPr>
        <w:ind w:firstLine="640"/>
        <w:rPr>
          <w:rFonts w:ascii="仿宋_GB2312"/>
          <w:highlight w:val="none"/>
        </w:rPr>
      </w:pPr>
      <w:r>
        <w:rPr>
          <w:rFonts w:hint="eastAsia" w:ascii="楷体_GB2312" w:eastAsia="楷体_GB2312"/>
          <w:highlight w:val="none"/>
        </w:rPr>
        <w:t>推进城市精细化管理。</w:t>
      </w:r>
      <w:r>
        <w:rPr>
          <w:rFonts w:hint="eastAsia" w:ascii="仿宋_GB2312" w:hAnsi="Calibri" w:cs="Times New Roman"/>
          <w:highlight w:val="none"/>
        </w:rPr>
        <w:t>下绣花功夫提高城市精细化管理能力，健全市政公用设施常态化管护机制。持续开展城乡环境综合整治提升行动，围绕私搭乱建、流动摊点、占道经营及共享单车乱停乱放等市容秩序问题开展专项整治，不断净化市容环境。提升道路建设和养护标准，不断优化出行环境，强化交通综合整治，治理停车难、停车乱问题。围绕重要城市街区、公共交通设施、旅游服务场所等领域，建设公共多语标识系统，全面塑造国际城市形象。推动居住小区依法成立业主委员会，提升物业服务企业服务质量和标准化水平。</w:t>
      </w:r>
    </w:p>
    <w:p>
      <w:pPr>
        <w:pStyle w:val="3"/>
        <w:rPr>
          <w:highlight w:val="none"/>
        </w:rPr>
      </w:pPr>
      <w:bookmarkStart w:id="42" w:name="_Toc91488176"/>
      <w:r>
        <w:rPr>
          <w:rFonts w:hint="eastAsia"/>
          <w:highlight w:val="none"/>
        </w:rPr>
        <w:t>第三节 打造共建共享宜居城市</w:t>
      </w:r>
      <w:bookmarkEnd w:id="42"/>
    </w:p>
    <w:p>
      <w:pPr>
        <w:ind w:firstLine="640"/>
        <w:rPr>
          <w:highlight w:val="none"/>
        </w:rPr>
      </w:pPr>
      <w:r>
        <w:rPr>
          <w:rFonts w:hint="eastAsia" w:ascii="仿宋_GB2312" w:hAnsi="仿宋"/>
          <w:bCs/>
          <w:szCs w:val="32"/>
          <w:highlight w:val="none"/>
        </w:rPr>
        <w:t>以子女教育、医疗卫生、社会保障、住房保障为重点，推动城镇基本公共服务覆盖未落户常住人口，全面提高城镇基本公共服务共享质量。</w:t>
      </w:r>
    </w:p>
    <w:p>
      <w:pPr>
        <w:ind w:firstLine="640"/>
        <w:rPr>
          <w:b/>
          <w:bCs/>
          <w:szCs w:val="32"/>
          <w:highlight w:val="none"/>
        </w:rPr>
      </w:pPr>
      <w:r>
        <w:rPr>
          <w:rFonts w:hint="eastAsia" w:ascii="楷体_GB2312" w:eastAsia="楷体_GB2312"/>
          <w:highlight w:val="none"/>
        </w:rPr>
        <w:t>促进教育均衡供给。</w:t>
      </w:r>
      <w:r>
        <w:rPr>
          <w:rFonts w:hint="eastAsia" w:ascii="仿宋_GB2312"/>
          <w:highlight w:val="none"/>
        </w:rPr>
        <w:t>强化人口流入地政府责任，完善以居住证为主要依据的随迁子女入学政策。畅通入学渠道，优化简化入学流程。加强对符合学龄条件的随迁子</w:t>
      </w:r>
      <w:r>
        <w:rPr>
          <w:rFonts w:hint="eastAsia" w:ascii="仿宋_GB2312" w:hAnsi="仿宋"/>
          <w:bCs/>
          <w:szCs w:val="32"/>
          <w:highlight w:val="none"/>
        </w:rPr>
        <w:t>女人口数据检测，有序扩大城镇学位供给。公办学校对符合条件的随迁子女入学应收尽收，全面落实义务教育“公民同招”政策，不断提高随迁子女在公办学校就读比例。落实城乡义务教育经费保障机制，确保随迁子女按规定享受“两免一补”政策。做好随迁子女控辍保学工作，建立健全随迁子女关爱帮扶机制。完善随迁子女义务教育在流入地参加升学考试的制度。加强对随迁子女学校的管理与监督，规范办学行为，提高教育质量。</w:t>
      </w:r>
    </w:p>
    <w:p>
      <w:pPr>
        <w:ind w:firstLine="640"/>
        <w:rPr>
          <w:rFonts w:ascii="仿宋_GB2312"/>
          <w:highlight w:val="none"/>
        </w:rPr>
      </w:pPr>
      <w:r>
        <w:rPr>
          <w:rFonts w:hint="eastAsia" w:ascii="楷体_GB2312" w:eastAsia="楷体_GB2312"/>
          <w:highlight w:val="none"/>
        </w:rPr>
        <w:t>提高基本医疗卫生条件。</w:t>
      </w:r>
      <w:r>
        <w:rPr>
          <w:rFonts w:hint="eastAsia" w:ascii="仿宋_GB2312"/>
          <w:highlight w:val="none"/>
        </w:rPr>
        <w:t>按照属地化原则为非户籍人口提供基本医疗服务和基本公共卫生服务。加强非户籍人口职业病防治工作，强化对接触职业病危害的农业转移劳动者的职业卫生知识培训、职业健康监护、个体防护用品使用等管理工作，积极落实非户籍人口生育政策和计划生育奖励优惠的衔接认定。按国家规定提供健康教育、妇幼保健、预防接种、传染病防控等医疗服务，不断提高非户籍人口聚集地的疾病监测、疫情处置和突发公共卫生事件应对能力。</w:t>
      </w:r>
    </w:p>
    <w:p>
      <w:pPr>
        <w:ind w:firstLine="640"/>
        <w:rPr>
          <w:b/>
          <w:bCs/>
          <w:szCs w:val="32"/>
          <w:highlight w:val="none"/>
        </w:rPr>
      </w:pPr>
      <w:r>
        <w:rPr>
          <w:rFonts w:hint="eastAsia" w:ascii="楷体_GB2312" w:eastAsia="楷体_GB2312"/>
          <w:highlight w:val="none"/>
        </w:rPr>
        <w:t>健全社会保障体系。</w:t>
      </w:r>
      <w:r>
        <w:rPr>
          <w:rFonts w:hint="eastAsia" w:ascii="仿宋_GB2312"/>
          <w:highlight w:val="none"/>
        </w:rPr>
        <w:t>着力推进非户籍人口参加社会保险，基本实现法</w:t>
      </w:r>
      <w:r>
        <w:rPr>
          <w:rFonts w:hint="eastAsia" w:ascii="仿宋_GB2312" w:hAnsi="仿宋"/>
          <w:bCs/>
          <w:szCs w:val="32"/>
          <w:highlight w:val="none"/>
        </w:rPr>
        <w:t>定人群社会保险全覆盖。落实离土农民社会保障办法，将持有居住证人口、被征地农民依规纳入城镇社会保障体系。完善灵活就业人员参保办法。统一规范城乡各类居民的社会保险电子档案管理信息系统，完善城乡一体、多险统一、便捷高效的社保经办服务运行机制，建立健全全市统一的城乡居民基本医疗保险制度和大病保险制度，使非户籍人口平等参加养老、医疗、失业、工伤、生育保险并享受相应待遇。</w:t>
      </w:r>
    </w:p>
    <w:p>
      <w:pPr>
        <w:ind w:firstLine="640"/>
        <w:rPr>
          <w:rFonts w:ascii="楷体_GB2312" w:eastAsia="楷体_GB2312"/>
          <w:highlight w:val="none"/>
        </w:rPr>
      </w:pPr>
      <w:r>
        <w:rPr>
          <w:rFonts w:hint="eastAsia" w:ascii="楷体_GB2312" w:eastAsia="楷体_GB2312"/>
          <w:highlight w:val="none"/>
        </w:rPr>
        <w:t>完善健康可负担住房保障和供应体系。</w:t>
      </w:r>
      <w:r>
        <w:rPr>
          <w:rFonts w:hint="eastAsia" w:ascii="仿宋_GB2312" w:hAnsi="仿宋"/>
          <w:bCs/>
          <w:szCs w:val="32"/>
          <w:highlight w:val="none"/>
        </w:rPr>
        <w:t>落实城镇保</w:t>
      </w:r>
      <w:r>
        <w:rPr>
          <w:rFonts w:ascii="仿宋_GB2312" w:hAnsi="仿宋"/>
          <w:bCs/>
          <w:szCs w:val="32"/>
          <w:highlight w:val="none"/>
        </w:rPr>
        <w:t>障房建设的土地、资金等支持政策。</w:t>
      </w:r>
      <w:r>
        <w:rPr>
          <w:rFonts w:hint="eastAsia" w:ascii="仿宋_GB2312" w:hAnsi="仿宋"/>
          <w:bCs/>
          <w:szCs w:val="32"/>
          <w:highlight w:val="none"/>
        </w:rPr>
        <w:t>加大新市民住房保障政策的优惠力度，将符合条件的非户籍人口纳入城镇住房保障体系。单列租赁住房用地计划，探索利用集体建设用地和企事业单位自有闲置土地建设租赁住房,支持将非住宅房屋改建保障性租赁住房。拓展多元化住房保障渠道，强化共有产权住房配售，建立长租房供应体系，大力培育长租房项目。有条件的区市，可以面向新市民提供公租房实物配租，并实行相应的租金减免政策。逐步使租购住房在享受公共服务上具有同等权利。</w:t>
      </w:r>
    </w:p>
    <w:p>
      <w:pPr>
        <w:ind w:firstLine="640"/>
        <w:rPr>
          <w:rFonts w:ascii="仿宋_GB2312"/>
          <w:highlight w:val="none"/>
        </w:rPr>
      </w:pPr>
      <w:r>
        <w:rPr>
          <w:rFonts w:hint="eastAsia" w:ascii="楷体_GB2312" w:eastAsia="楷体_GB2312"/>
          <w:highlight w:val="none"/>
        </w:rPr>
        <w:t>增强共建共享能力。</w:t>
      </w:r>
      <w:r>
        <w:rPr>
          <w:rFonts w:hint="eastAsia" w:ascii="仿宋_GB2312" w:hAnsi="Calibri" w:cs="Times New Roman"/>
          <w:highlight w:val="none"/>
        </w:rPr>
        <w:t>按照不同区市城区常住人口规模、增长趋势和空间分布，科学统筹布局公服设施。优化社区生活服务网络，打造15分钟社区生活圈，加快构建乡村社区生活圈。建设老年友好型城市，大力发展城市银发经济，加快养老事业和养老产业协同发展。鼓励社会力量举办养老服务机构，持续提升养老机构护理型床位占比，力争2025年、2035年分别达到60%、80%。建设儿童友好型城市，建立健全未成年人关爱保护体系，扩大普惠性幼儿园和托育服务供给。建设人才友好型城市，打造面向人才的时尚社区。建设残障友好型城市，开展无障碍环境建设，不断完善公共服务机构和公共场所无障碍设施。</w:t>
      </w:r>
    </w:p>
    <w:p>
      <w:pPr>
        <w:pStyle w:val="3"/>
        <w:rPr>
          <w:highlight w:val="none"/>
        </w:rPr>
      </w:pPr>
      <w:bookmarkStart w:id="43" w:name="_Toc88552452"/>
      <w:bookmarkStart w:id="44" w:name="_Toc91488177"/>
      <w:r>
        <w:rPr>
          <w:rFonts w:hint="eastAsia"/>
          <w:highlight w:val="none"/>
        </w:rPr>
        <w:t>第四节 塑造魅力多彩人文城市</w:t>
      </w:r>
      <w:bookmarkEnd w:id="43"/>
      <w:bookmarkEnd w:id="44"/>
    </w:p>
    <w:p>
      <w:pPr>
        <w:ind w:firstLine="640"/>
        <w:rPr>
          <w:highlight w:val="none"/>
        </w:rPr>
      </w:pPr>
      <w:r>
        <w:rPr>
          <w:rFonts w:hint="eastAsia" w:ascii="仿宋_GB2312" w:hAnsi="Calibri" w:cs="Times New Roman"/>
          <w:highlight w:val="none"/>
        </w:rPr>
        <w:t>深入挖掘烟台的特色文化资源，保护传承优秀历史文化，丰富彰显胶东文化魅力，推进物质文明和精神文明协调发展，促进历史文化与现代生活融为一体。</w:t>
      </w:r>
    </w:p>
    <w:p>
      <w:pPr>
        <w:ind w:firstLine="640"/>
        <w:rPr>
          <w:rFonts w:ascii="仿宋_GB2312"/>
          <w:highlight w:val="none"/>
        </w:rPr>
      </w:pPr>
      <w:r>
        <w:rPr>
          <w:rFonts w:hint="eastAsia" w:ascii="楷体_GB2312" w:eastAsia="楷体_GB2312"/>
          <w:highlight w:val="none"/>
        </w:rPr>
        <w:t>丰富彰显胶东文化魅力特色。</w:t>
      </w:r>
      <w:r>
        <w:rPr>
          <w:rFonts w:hint="eastAsia" w:ascii="仿宋_GB2312" w:hAnsi="Calibri" w:cs="Times New Roman"/>
          <w:highlight w:val="none"/>
        </w:rPr>
        <w:t>以锻造红色文化、海洋文化、葡萄酒文化等一批知名特色文化品牌为重点，打造胶东文化龙头城市，加快做大做强区域特色文化品牌。建成集博物馆新馆、图书馆新馆、胶东文化创意馆于一体的市新文化中心等标志性文化设施。鼓励舞台艺术、美术、影视、文学等全领域创作，推出更多彰显胶东文化魅力特色的文艺精品。培育烟台国际海岸生活节、烟台国际葡萄酒节、烟台市民文化节等烟台地域特色品牌节庆。紧紧把握国家“一带一路”倡议和中日韩自贸区建设有利机遇，推动烟台文化走出去，积极参加文化产业“博览会”“贸易展”等国内外重要文化展会，增强烟台胶东文化影响力。</w:t>
      </w:r>
    </w:p>
    <w:p>
      <w:pPr>
        <w:ind w:firstLine="640"/>
        <w:rPr>
          <w:rFonts w:ascii="仿宋_GB2312"/>
          <w:highlight w:val="none"/>
        </w:rPr>
      </w:pPr>
      <w:r>
        <w:rPr>
          <w:rFonts w:hint="eastAsia" w:ascii="楷体_GB2312" w:eastAsia="楷体_GB2312"/>
          <w:highlight w:val="none"/>
        </w:rPr>
        <w:t>保护传承优秀历史文化。</w:t>
      </w:r>
      <w:r>
        <w:rPr>
          <w:rFonts w:hint="eastAsia" w:ascii="仿宋_GB2312" w:hAnsi="Calibri" w:cs="Times New Roman"/>
          <w:highlight w:val="none"/>
        </w:rPr>
        <w:t>加强对朝阳街、所城里、虹口路等历史街区的保护改造，建成展现烟台历史文脉的特色文化街区。构筑彰显城市历史和文化特色的标识体系，加强毓璜顶传统风貌区和海军航院传统风貌区保护。加强各级文保单位、历史村镇、名人故居、历史建筑、革命遗址、古树名木等保护。挖掘红色文化资源，弘扬传承革命传统，建设一批重点红色旅游景点景区，推出红色旅游精品线路。加强工业遗产保护与利用，放大张裕公司原址、醴泉公司旧址、烟台造船厂等工业遗产活化利用价值。加强非物质文化遗产保护传承，依托烟台剪纸、海阳大秧歌、胶东大鼓等非物质文化遗产资源，培育一批特色非遗村落。</w:t>
      </w:r>
    </w:p>
    <w:p>
      <w:pPr>
        <w:ind w:firstLine="640"/>
        <w:rPr>
          <w:rFonts w:ascii="仿宋_GB2312"/>
          <w:highlight w:val="none"/>
        </w:rPr>
      </w:pPr>
      <w:r>
        <w:rPr>
          <w:rFonts w:hint="eastAsia" w:ascii="楷体_GB2312" w:eastAsia="楷体_GB2312"/>
          <w:highlight w:val="none"/>
        </w:rPr>
        <w:t>巩固提升全国文明城市创建成果。</w:t>
      </w:r>
      <w:r>
        <w:rPr>
          <w:rFonts w:hint="eastAsia" w:ascii="仿宋_GB2312" w:hAnsi="Calibri" w:cs="Times New Roman"/>
          <w:highlight w:val="none"/>
        </w:rPr>
        <w:t>探索建立法制化、制度化、常态化的创城模式，实现创城工作日常化。推动精神文明建设工作向乡镇农村延伸、向单位家庭延伸、向网络空间延伸，立足于全面创建、全民创建、全程创建和全域创建。充分调动基层积极性，多措并举深化拓展群众性精神文明创建活动，突出抓好文明单位、文明窗口、文明校园、文明家庭等创建工作。健全志愿服务体系，推动志愿服务制度化、社会化、专业化，实现文明城市“共建共享”。弘扬诚信文化，建设诚信烟台。</w:t>
      </w:r>
    </w:p>
    <w:p>
      <w:pPr>
        <w:ind w:firstLine="640"/>
        <w:rPr>
          <w:rFonts w:ascii="仿宋_GB2312"/>
          <w:highlight w:val="none"/>
        </w:rPr>
      </w:pPr>
      <w:r>
        <w:rPr>
          <w:rFonts w:hint="eastAsia" w:ascii="楷体_GB2312" w:eastAsia="楷体_GB2312"/>
          <w:highlight w:val="none"/>
        </w:rPr>
        <w:t>推动文旅产业深度融合发展。</w:t>
      </w:r>
      <w:r>
        <w:rPr>
          <w:rFonts w:hint="eastAsia" w:ascii="仿宋_GB2312" w:hAnsi="Calibri" w:cs="Times New Roman"/>
          <w:highlight w:val="none"/>
        </w:rPr>
        <w:t>推动文旅产业延链补链强链，构筑“两核两带三高地”的文旅发展新格局。构建文旅产业生态圈，全面促进文旅与海洋、工业、农业、康养、体育、会展、科技深度融合。全力促进文旅消费，积极创建文化和旅游消费试点县、夜间文化旅游消费聚集区、文化旅游融合示范区等省级国家级品牌。创新文化旅游商品，培育“烟台好礼”品牌，发展海产品、黄金饰品等系列特色文旅商品，打造购物旅游城市。推进文旅服务智慧化，完善“烟台文旅云”智慧服务、管理、营销、统计功能，推进“数字文旅场馆”和智慧景区建设。</w:t>
      </w:r>
    </w:p>
    <w:p>
      <w:pPr>
        <w:pStyle w:val="3"/>
        <w:rPr>
          <w:highlight w:val="none"/>
        </w:rPr>
      </w:pPr>
      <w:bookmarkStart w:id="45" w:name="_Toc88552455"/>
      <w:bookmarkStart w:id="46" w:name="_Toc91488178"/>
      <w:r>
        <w:rPr>
          <w:rFonts w:hint="eastAsia"/>
          <w:highlight w:val="none"/>
        </w:rPr>
        <w:t>第五节 构筑安全灵敏韧性城市</w:t>
      </w:r>
      <w:bookmarkEnd w:id="45"/>
      <w:bookmarkEnd w:id="46"/>
    </w:p>
    <w:p>
      <w:pPr>
        <w:ind w:firstLine="640"/>
        <w:rPr>
          <w:highlight w:val="none"/>
        </w:rPr>
      </w:pPr>
      <w:r>
        <w:rPr>
          <w:rFonts w:hint="eastAsia" w:ascii="仿宋_GB2312" w:hAnsi="Calibri" w:cs="Times New Roman"/>
          <w:highlight w:val="none"/>
        </w:rPr>
        <w:t>坚持人民至上、生命至上，把保障人民健康和安全放在优先发展的战略位置，加强城市安全发展体系建设，维护城市运行秩序，保障人民生命安全。</w:t>
      </w:r>
    </w:p>
    <w:p>
      <w:pPr>
        <w:ind w:firstLine="640"/>
        <w:rPr>
          <w:rFonts w:ascii="仿宋_GB2312"/>
          <w:highlight w:val="none"/>
        </w:rPr>
      </w:pPr>
      <w:r>
        <w:rPr>
          <w:rFonts w:hint="eastAsia" w:ascii="楷体_GB2312" w:eastAsia="楷体_GB2312"/>
          <w:highlight w:val="none"/>
        </w:rPr>
        <w:t>提高城市安全保障水平。</w:t>
      </w:r>
      <w:r>
        <w:rPr>
          <w:rFonts w:hint="eastAsia" w:ascii="仿宋_GB2312"/>
          <w:highlight w:val="none"/>
        </w:rPr>
        <w:t>定期开展城市体检评估，建立健全城市安全风险评估和分级分类管控机制。建立健全重大疫情综合监测预警、响应、指挥和救治机制，完善突发重特大疫情应急预案和防控规范。加强食品药品疫苗安全监管，扎实推进“食安烟台”建设。压实安全生产责任，强化重点行业领域安全风险管控，坚决遏制较大及以上事故。加快海绵城市建设，通过新建改建海绵型公共建筑和小区住宅，改善城市道路排水，增强公园和绿地系统的城市海绵体功能，改造消除城市易涝点，打造安全可持续的城市水循环系统。加强燃气、供排水、供热等城市生命线运行维护和监测预警，积极创建国家安全发展示范城市。</w:t>
      </w:r>
    </w:p>
    <w:p>
      <w:pPr>
        <w:ind w:firstLine="640"/>
        <w:rPr>
          <w:rFonts w:ascii="仿宋_GB2312"/>
          <w:highlight w:val="none"/>
        </w:rPr>
      </w:pPr>
      <w:r>
        <w:rPr>
          <w:rFonts w:hint="eastAsia" w:ascii="楷体_GB2312" w:eastAsia="楷体_GB2312"/>
          <w:highlight w:val="none"/>
        </w:rPr>
        <w:t>提高综合防灾减灾救灾能力。</w:t>
      </w:r>
      <w:r>
        <w:rPr>
          <w:rFonts w:hint="eastAsia" w:ascii="仿宋_GB2312"/>
          <w:highlight w:val="none"/>
        </w:rPr>
        <w:t>加快推进自然灾害防治九大工程建设，开展灾害综合风险普查，建立自然灾害综合风险和综合减灾能力数据库。完善自然灾害综合风险会商评估机制，加强涉灾部门趋势预测意见和信息共享，积极创建全国和全省综合减灾示范社区、全省综合减灾示范县。实施重点地区地震监测强化工程，推进防震减灾科普阵地建设，打造防震减灾公共服务信息系统。健全灾害救助和灾后恢复重建机制。加快大数据、先进指挥通信、轻型智能机械等在防灾减灾救灾领域推广应用。</w:t>
      </w:r>
    </w:p>
    <w:p>
      <w:pPr>
        <w:ind w:firstLine="640"/>
        <w:rPr>
          <w:rFonts w:ascii="仿宋_GB2312"/>
          <w:szCs w:val="32"/>
          <w:highlight w:val="none"/>
        </w:rPr>
      </w:pPr>
      <w:r>
        <w:rPr>
          <w:rFonts w:hint="eastAsia" w:ascii="楷体_GB2312" w:eastAsia="楷体_GB2312"/>
          <w:highlight w:val="none"/>
        </w:rPr>
        <w:t>健全应急防控救援体系。</w:t>
      </w:r>
      <w:r>
        <w:rPr>
          <w:rFonts w:hint="eastAsia" w:ascii="仿宋_GB2312"/>
          <w:highlight w:val="none"/>
        </w:rPr>
        <w:t>打造智能感知、快速反应、精准指挥、科学决策的综合应急指挥平台，建立沟通顺畅、反应迅速的应急救援指挥协调体系，构建集指挥车、单兵、便携卫星、无人机于一体的立体化应急通信网络，提高应急突发事件现场信息化指挥调度效能。完善总体应急预案和安全生产类、自然灾害类专项应急预案和部门预案，指导企业健全应急救援预案，推动形成覆盖各行业领域、各生产经营单位的应急救援预案体系。实行分级分类分部门应急物资储备，建立以市级库为枢纽、县级库为配套、城乡社区物资为补充的应急物资储备体系。加强应急救援队伍建设，推动建立全市统一领导、统筹协调、多方联动、密切配合的应急救援力量联调联战机制</w:t>
      </w:r>
      <w:r>
        <w:rPr>
          <w:rFonts w:hint="eastAsia" w:ascii="仿宋_GB2312" w:hAnsi="Calibri" w:cs="Times New Roman"/>
          <w:szCs w:val="32"/>
          <w:highlight w:val="none"/>
        </w:rPr>
        <w:t>。</w:t>
      </w:r>
    </w:p>
    <w:p>
      <w:pPr>
        <w:ind w:firstLine="640"/>
        <w:rPr>
          <w:rFonts w:ascii="仿宋_GB2312"/>
          <w:highlight w:val="none"/>
        </w:rPr>
      </w:pPr>
    </w:p>
    <w:p>
      <w:pPr>
        <w:widowControl/>
        <w:spacing w:line="240" w:lineRule="auto"/>
        <w:ind w:firstLine="0" w:firstLineChars="0"/>
        <w:jc w:val="left"/>
        <w:rPr>
          <w:rFonts w:ascii="方正小标宋简体" w:hAnsi="Calibri" w:eastAsia="方正小标宋简体" w:cs="Times New Roman"/>
          <w:bCs/>
          <w:kern w:val="44"/>
          <w:szCs w:val="44"/>
          <w:highlight w:val="none"/>
        </w:rPr>
      </w:pPr>
      <w:bookmarkStart w:id="47" w:name="_Toc88552457"/>
      <w:bookmarkStart w:id="48" w:name="_Toc85464059"/>
      <w:r>
        <w:rPr>
          <w:highlight w:val="none"/>
        </w:rPr>
        <w:br w:type="page"/>
      </w:r>
    </w:p>
    <w:p>
      <w:pPr>
        <w:pStyle w:val="3"/>
        <w:rPr>
          <w:highlight w:val="none"/>
        </w:rPr>
      </w:pPr>
      <w:bookmarkStart w:id="49" w:name="_Toc91488179"/>
      <w:r>
        <w:rPr>
          <w:rFonts w:hint="eastAsia"/>
          <w:highlight w:val="none"/>
        </w:rPr>
        <w:t>第六节 提高城市统筹规划水平</w:t>
      </w:r>
      <w:bookmarkEnd w:id="49"/>
    </w:p>
    <w:p>
      <w:pPr>
        <w:ind w:firstLine="640"/>
        <w:rPr>
          <w:highlight w:val="none"/>
        </w:rPr>
      </w:pPr>
      <w:r>
        <w:rPr>
          <w:rFonts w:hint="eastAsia" w:ascii="仿宋_GB2312" w:hAnsi="Calibri" w:cs="Times New Roman"/>
          <w:highlight w:val="none"/>
        </w:rPr>
        <w:t>贯彻“以人为本”的规划理念，统筹城市规划建设管理，健全“多规合一”的规划协同机制，切实发挥</w:t>
      </w:r>
      <w:r>
        <w:rPr>
          <w:rFonts w:ascii="仿宋_GB2312" w:hAnsi="Calibri" w:cs="Times New Roman"/>
          <w:highlight w:val="none"/>
        </w:rPr>
        <w:t>城镇化规划导向作用</w:t>
      </w:r>
      <w:r>
        <w:rPr>
          <w:rFonts w:hint="eastAsia" w:ascii="仿宋_GB2312" w:hAnsi="Calibri" w:cs="Times New Roman"/>
          <w:highlight w:val="none"/>
        </w:rPr>
        <w:t>，提高城市统筹规划水平。</w:t>
      </w:r>
    </w:p>
    <w:p>
      <w:pPr>
        <w:ind w:firstLine="640"/>
        <w:rPr>
          <w:rFonts w:ascii="仿宋_GB2312" w:hAnsi="仿宋" w:cs="宋体"/>
          <w:b/>
          <w:color w:val="333333"/>
          <w:kern w:val="0"/>
          <w:szCs w:val="32"/>
          <w:highlight w:val="none"/>
        </w:rPr>
      </w:pPr>
      <w:r>
        <w:rPr>
          <w:rFonts w:hint="eastAsia" w:ascii="楷体_GB2312" w:eastAsia="楷体_GB2312"/>
          <w:highlight w:val="none"/>
        </w:rPr>
        <w:t>贯彻“以人为本”的规划理念。</w:t>
      </w:r>
      <w:r>
        <w:rPr>
          <w:rFonts w:hint="eastAsia" w:ascii="仿宋_GB2312" w:hAnsi="Calibri" w:cs="Times New Roman"/>
          <w:szCs w:val="32"/>
          <w:highlight w:val="none"/>
        </w:rPr>
        <w:t>充分评估资源环境承载能力和国土空间开发适宜性，科学确立城镇功能定位，优化空间结构和形态，合理设置开发强度。统筹规划城镇空间功能布局，促进城镇用地功能适度混合，合理设定不同功能区土地开发利用的规范性要求，建立健全城镇地下空间开发利用协调机制。健全城市地理信息系统，全面开展城市地下管网普查，建立城市建筑和基础设施信息“一张图”。统筹规划市区、城郊和周边乡村发展。健全公众参与规划管理机制。</w:t>
      </w:r>
    </w:p>
    <w:p>
      <w:pPr>
        <w:ind w:firstLine="640"/>
        <w:rPr>
          <w:rFonts w:ascii="仿宋_GB2312"/>
          <w:szCs w:val="32"/>
          <w:highlight w:val="none"/>
        </w:rPr>
      </w:pPr>
      <w:r>
        <w:rPr>
          <w:rFonts w:hint="eastAsia" w:ascii="楷体_GB2312" w:eastAsia="楷体_GB2312"/>
          <w:highlight w:val="none"/>
        </w:rPr>
        <w:t>健全“多规合一”的规划协同机制。</w:t>
      </w:r>
      <w:r>
        <w:rPr>
          <w:rFonts w:hint="eastAsia" w:ascii="仿宋_GB2312" w:hAnsi="Calibri" w:cs="Times New Roman"/>
          <w:szCs w:val="32"/>
          <w:highlight w:val="none"/>
        </w:rPr>
        <w:t>全面落实上位规划，强化各类规划的衔接协调，高效指导下一层级规划编制。按照区域协同、陆海统筹、城乡融合、多规合一的要求，统筹考虑全市新旧动能转换、乡村振兴、生态建设等发展目标，着眼谋划独具烟台特色的全域土地利用结构调整和空间布局优化。以“全市一盘棋”的理念优化全市重大基础设施、公共服务、产业平台布局，加强对城市的空间立体性、平面协调性、风貌整体性、文脉延续性等方面的规划和管控，实现一张蓝图绘到底。</w:t>
      </w:r>
    </w:p>
    <w:p>
      <w:pPr>
        <w:ind w:firstLine="640"/>
        <w:rPr>
          <w:rFonts w:ascii="仿宋_GB2312"/>
          <w:szCs w:val="32"/>
          <w:highlight w:val="none"/>
        </w:rPr>
      </w:pPr>
      <w:r>
        <w:rPr>
          <w:rFonts w:hint="eastAsia" w:ascii="楷体_GB2312" w:eastAsia="楷体_GB2312"/>
          <w:highlight w:val="none"/>
        </w:rPr>
        <w:t>发挥城镇化规划导向作用。</w:t>
      </w:r>
      <w:r>
        <w:rPr>
          <w:rFonts w:hint="eastAsia" w:ascii="仿宋_GB2312" w:hAnsi="Calibri" w:cs="Times New Roman"/>
          <w:szCs w:val="32"/>
          <w:highlight w:val="none"/>
        </w:rPr>
        <w:t>发挥新型城镇化规划对城镇化和城乡融合发展的战略导向和约束作用，建立健全全域统筹和分类引导相结合、刚性和弹性相结合、专业和公众参与相结合的规划管理机制。增强新型城镇化与城乡融合规划对公共预算、资源配置等政策的宏观引导、统筹协调功能，打破地域分割和行政壁垒，以新发展理念推进人口、产业和要素的优化布局，破解城镇化和城乡融合发展的重点难点问题。</w:t>
      </w:r>
    </w:p>
    <w:p>
      <w:pPr>
        <w:widowControl/>
        <w:spacing w:line="240" w:lineRule="auto"/>
        <w:ind w:firstLine="0" w:firstLineChars="0"/>
        <w:jc w:val="left"/>
        <w:rPr>
          <w:rFonts w:ascii="方正小标宋简体" w:hAnsi="Calibri" w:eastAsia="方正小标宋简体" w:cs="Times New Roman"/>
          <w:bCs/>
          <w:kern w:val="44"/>
          <w:szCs w:val="44"/>
          <w:highlight w:val="none"/>
        </w:rPr>
      </w:pPr>
      <w:bookmarkStart w:id="50" w:name="_Toc91488180"/>
      <w:r>
        <w:rPr>
          <w:highlight w:val="none"/>
        </w:rPr>
        <w:br w:type="page"/>
      </w:r>
    </w:p>
    <w:p>
      <w:pPr>
        <w:pStyle w:val="2"/>
        <w:rPr>
          <w:highlight w:val="none"/>
        </w:rPr>
      </w:pPr>
      <w:r>
        <w:rPr>
          <w:rFonts w:hint="eastAsia"/>
          <w:highlight w:val="none"/>
        </w:rPr>
        <w:t>第四章 推进双向城镇化 高层次推动城乡融合发展</w:t>
      </w:r>
      <w:bookmarkEnd w:id="47"/>
      <w:bookmarkEnd w:id="48"/>
      <w:bookmarkEnd w:id="50"/>
    </w:p>
    <w:p>
      <w:pPr>
        <w:ind w:firstLine="640"/>
        <w:rPr>
          <w:rFonts w:ascii="仿宋_GB2312" w:hAnsi="Calibri" w:cs="Times New Roman"/>
          <w:highlight w:val="none"/>
        </w:rPr>
      </w:pPr>
    </w:p>
    <w:p>
      <w:pPr>
        <w:ind w:firstLine="640"/>
        <w:rPr>
          <w:rFonts w:ascii="仿宋_GB2312" w:hAnsi="Calibri" w:cs="Times New Roman"/>
          <w:highlight w:val="none"/>
        </w:rPr>
      </w:pPr>
      <w:r>
        <w:rPr>
          <w:rFonts w:hint="eastAsia" w:ascii="仿宋_GB2312" w:hAnsi="Calibri" w:cs="Times New Roman"/>
          <w:highlight w:val="none"/>
        </w:rPr>
        <w:t>以乡村振兴战略为抓手，以缩小城乡发展差距和居民生活水平差距为目标，以“创建国家级城乡融合发展试验区”要求高层次推动城乡融合发展，推进城乡要素融合、设施融合、资源共享、经济融合，促进乡村振兴和城乡居民共同富裕。</w:t>
      </w:r>
    </w:p>
    <w:p>
      <w:pPr>
        <w:pStyle w:val="3"/>
        <w:numPr>
          <w:ilvl w:val="0"/>
          <w:numId w:val="1"/>
        </w:numPr>
        <w:ind w:left="720" w:hanging="720"/>
        <w:rPr>
          <w:highlight w:val="none"/>
        </w:rPr>
      </w:pPr>
      <w:bookmarkStart w:id="51" w:name="_Toc91488181"/>
      <w:r>
        <w:rPr>
          <w:rFonts w:hint="eastAsia"/>
          <w:highlight w:val="none"/>
        </w:rPr>
        <w:t>加大全方位的人口集聚力度</w:t>
      </w:r>
      <w:bookmarkEnd w:id="51"/>
    </w:p>
    <w:p>
      <w:pPr>
        <w:ind w:firstLine="640"/>
        <w:rPr>
          <w:rFonts w:ascii="仿宋_GB2312" w:hAnsi="仿宋"/>
          <w:bCs/>
          <w:szCs w:val="32"/>
          <w:highlight w:val="none"/>
        </w:rPr>
      </w:pPr>
      <w:r>
        <w:rPr>
          <w:rFonts w:hint="eastAsia" w:ascii="仿宋_GB2312" w:hAnsi="仿宋"/>
          <w:bCs/>
          <w:szCs w:val="32"/>
          <w:highlight w:val="none"/>
        </w:rPr>
        <w:t>强化外来人口集聚活力，持续深化户籍改革，以户籍和居住证为载体，提高城镇基本公共服务水平，维护进城落户农民的农村合法权益。</w:t>
      </w:r>
    </w:p>
    <w:p>
      <w:pPr>
        <w:ind w:firstLine="640"/>
        <w:rPr>
          <w:rFonts w:ascii="仿宋_GB2312"/>
          <w:highlight w:val="none"/>
        </w:rPr>
      </w:pPr>
      <w:r>
        <w:rPr>
          <w:rFonts w:hint="eastAsia" w:ascii="楷体_GB2312" w:eastAsia="楷体_GB2312"/>
          <w:highlight w:val="none"/>
        </w:rPr>
        <w:t>全面提高城镇人口集聚水平。</w:t>
      </w:r>
      <w:r>
        <w:rPr>
          <w:rFonts w:hint="eastAsia" w:ascii="仿宋_GB2312"/>
          <w:highlight w:val="none"/>
        </w:rPr>
        <w:t>引导人口合理集聚，促进大中小城市和小城镇协调发展。</w:t>
      </w:r>
      <w:r>
        <w:rPr>
          <w:rFonts w:ascii="仿宋_GB2312"/>
          <w:highlight w:val="none"/>
        </w:rPr>
        <w:t>到</w:t>
      </w:r>
      <w:r>
        <w:rPr>
          <w:rFonts w:hint="eastAsia" w:ascii="仿宋_GB2312"/>
          <w:highlight w:val="none"/>
        </w:rPr>
        <w:t>2</w:t>
      </w:r>
      <w:r>
        <w:rPr>
          <w:rFonts w:ascii="仿宋_GB2312"/>
          <w:highlight w:val="none"/>
        </w:rPr>
        <w:t>025年</w:t>
      </w:r>
      <w:r>
        <w:rPr>
          <w:rFonts w:hint="eastAsia" w:ascii="仿宋_GB2312"/>
          <w:highlight w:val="none"/>
        </w:rPr>
        <w:t>，</w:t>
      </w:r>
      <w:r>
        <w:rPr>
          <w:rFonts w:ascii="仿宋_GB2312"/>
          <w:highlight w:val="none"/>
        </w:rPr>
        <w:t>烟台市城区年均增长3-4</w:t>
      </w:r>
      <w:r>
        <w:rPr>
          <w:rFonts w:hint="eastAsia" w:ascii="仿宋_GB2312"/>
          <w:highlight w:val="none"/>
        </w:rPr>
        <w:t>万人。有重点地培育中小城市，促进龙口、招远等经济强市城区年均增长</w:t>
      </w:r>
      <w:r>
        <w:rPr>
          <w:rFonts w:ascii="仿宋_GB2312"/>
          <w:highlight w:val="none"/>
        </w:rPr>
        <w:t>1-2万人</w:t>
      </w:r>
      <w:r>
        <w:rPr>
          <w:rFonts w:hint="eastAsia" w:ascii="仿宋_GB2312"/>
          <w:highlight w:val="none"/>
        </w:rPr>
        <w:t>，其他</w:t>
      </w:r>
      <w:r>
        <w:rPr>
          <w:rFonts w:ascii="仿宋_GB2312"/>
          <w:highlight w:val="none"/>
        </w:rPr>
        <w:t>一般市城区年均增长0.5万人以上</w:t>
      </w:r>
      <w:r>
        <w:rPr>
          <w:rFonts w:hint="eastAsia" w:ascii="仿宋_GB2312"/>
          <w:highlight w:val="none"/>
        </w:rPr>
        <w:t>。稳妥有序地推动农村就地转移人口向小城镇和中心村集中居住区聚集。</w:t>
      </w:r>
    </w:p>
    <w:p>
      <w:pPr>
        <w:ind w:firstLine="640"/>
        <w:rPr>
          <w:rFonts w:ascii="仿宋_GB2312"/>
          <w:highlight w:val="none"/>
        </w:rPr>
      </w:pPr>
      <w:r>
        <w:rPr>
          <w:rFonts w:hint="eastAsia" w:ascii="楷体_GB2312" w:eastAsia="楷体_GB2312"/>
          <w:highlight w:val="none"/>
        </w:rPr>
        <w:t>引导城乡人口合理有序流动。</w:t>
      </w:r>
      <w:r>
        <w:rPr>
          <w:rFonts w:hint="eastAsia" w:ascii="仿宋_GB2312"/>
          <w:highlight w:val="none"/>
        </w:rPr>
        <w:t>全面放开城镇落户限制，实行经常居住地登记户口制度，凡在城镇购房（或租房）居住、就业的，本人及其近亲属均可按照自有房屋、近亲属房屋、租赁房屋或单位集体户、社区集体户的顺序进行落户，促进农业转移人口就地就近市民化。完善城镇社区（单位）集体户制度，户口登记在社区（单位）集体户且具有家庭成员关系的人员，公安机关可依申请为其颁发家庭居民户口簿。畅通入乡返乡落户渠道，促进人口双向流动、合理分布。简化落户程序，畅通迁移通道。深化“互联网+政务服务”，推进户口、居民身份证办理“无纸化”“免填单”。</w:t>
      </w:r>
    </w:p>
    <w:p>
      <w:pPr>
        <w:ind w:firstLine="640"/>
        <w:rPr>
          <w:rFonts w:ascii="仿宋_GB2312"/>
          <w:highlight w:val="none"/>
        </w:rPr>
      </w:pPr>
      <w:r>
        <w:rPr>
          <w:rFonts w:hint="eastAsia" w:ascii="楷体_GB2312" w:eastAsia="楷体_GB2312"/>
          <w:highlight w:val="none"/>
        </w:rPr>
        <w:t>优化完善居住证制度。</w:t>
      </w:r>
      <w:r>
        <w:rPr>
          <w:rFonts w:hint="eastAsia" w:ascii="仿宋_GB2312"/>
          <w:highlight w:val="none"/>
        </w:rPr>
        <w:t>放宽居住证明材料认定范围，推动居住证制度向常住人口全覆盖。探索打通各类涉及身份信息的政府数据系统，以居民身份证号码为关联，实现居住证、市民卡等电子证照的多证合一。完善以居住证为主要依据的义务教育、就医结算、职业技能培训、保障性住房等制度，逐步拓展居住证持有人可享有基本公共服务的范围和质量。建立健全与居住年限等条件相挂钩的基本公共服务供给机制，探索建立紧缺优质公共服务梯度供给制度。加快居住证电子化进程，实现线上申领、线上提交、线上审核、电子发放。探索建立居住证互认转换机制。</w:t>
      </w:r>
    </w:p>
    <w:p>
      <w:pPr>
        <w:ind w:firstLine="640"/>
        <w:rPr>
          <w:rFonts w:ascii="仿宋_GB2312"/>
          <w:highlight w:val="none"/>
        </w:rPr>
      </w:pPr>
      <w:r>
        <w:rPr>
          <w:rFonts w:hint="eastAsia" w:ascii="楷体_GB2312" w:eastAsia="楷体_GB2312"/>
          <w:highlight w:val="none"/>
        </w:rPr>
        <w:t>优先打通特殊群体落户通道。</w:t>
      </w:r>
      <w:r>
        <w:rPr>
          <w:rFonts w:ascii="仿宋_GB2312"/>
          <w:highlight w:val="none"/>
        </w:rPr>
        <w:t>统筹推进普通劳动者和人才落户，</w:t>
      </w:r>
      <w:r>
        <w:rPr>
          <w:rFonts w:hint="eastAsia" w:ascii="仿宋_GB2312"/>
          <w:highlight w:val="none"/>
        </w:rPr>
        <w:t>优化人才落户制度，进一步放宽人才落户条件，拓宽“优才卡”发放范围，探索建设电子“优才卡”和移动端平台</w:t>
      </w:r>
      <w:r>
        <w:rPr>
          <w:rFonts w:ascii="仿宋_GB2312"/>
          <w:highlight w:val="none"/>
        </w:rPr>
        <w:t>，做好人才职称申报、子女入学、家属就业、医疗保障、住房保障等配套服务。</w:t>
      </w:r>
      <w:r>
        <w:rPr>
          <w:rFonts w:hint="eastAsia" w:ascii="仿宋_GB2312"/>
          <w:highlight w:val="none"/>
        </w:rPr>
        <w:t>优先解决举家迁徙的农业转移人口、新生代农民工和农村学生升学等存量群体落户问题。</w:t>
      </w:r>
      <w:r>
        <w:rPr>
          <w:rFonts w:ascii="仿宋_GB2312"/>
          <w:highlight w:val="none"/>
        </w:rPr>
        <w:t>打通建档立卡低收入农户落户通道，推动有能力在城镇稳定就业生活的低收入农户落户城镇</w:t>
      </w:r>
      <w:r>
        <w:rPr>
          <w:rFonts w:hint="eastAsia" w:ascii="仿宋_GB2312"/>
          <w:highlight w:val="none"/>
        </w:rPr>
        <w:t>，</w:t>
      </w:r>
      <w:r>
        <w:rPr>
          <w:rFonts w:ascii="仿宋_GB2312"/>
          <w:highlight w:val="none"/>
        </w:rPr>
        <w:t>进一步鼓励引导农业转移人口落户城镇。</w:t>
      </w:r>
    </w:p>
    <w:p>
      <w:pPr>
        <w:ind w:firstLine="640"/>
        <w:rPr>
          <w:rFonts w:ascii="仿宋_GB2312"/>
          <w:highlight w:val="none"/>
        </w:rPr>
      </w:pPr>
      <w:r>
        <w:rPr>
          <w:rFonts w:hint="eastAsia" w:ascii="楷体_GB2312" w:eastAsia="楷体_GB2312"/>
          <w:highlight w:val="none"/>
        </w:rPr>
        <w:t>维护进城落户农民的农村权益。</w:t>
      </w:r>
      <w:r>
        <w:rPr>
          <w:rFonts w:hint="eastAsia" w:ascii="仿宋_GB2312"/>
          <w:highlight w:val="none"/>
        </w:rPr>
        <w:t>全面完成农村不动产确权登记颁证，维护进城落户农民的土地承包权、宅基地使用权、集体收益分配权，不得以退出上述权益作为农民进城落户的条件。深化农村集体产权制度改革，支持、引导进城落户农民自愿有偿流转相关权益，实现农村集体经济组织成员权益与户籍登记脱钩等。加强村集体经济组织成员管理，不得以集体内部协商少数服从多数为由取消农业转移人口集体经济组织成员身份。制定引导有稳定非农就业收入、长期在城镇居住生活的农户向村集体经济组织有偿退出土地承包权、宅基地资格权、集体资产股权的具体办法。</w:t>
      </w:r>
    </w:p>
    <w:p>
      <w:pPr>
        <w:pStyle w:val="3"/>
        <w:numPr>
          <w:ilvl w:val="0"/>
          <w:numId w:val="1"/>
        </w:numPr>
        <w:ind w:left="720" w:hanging="720"/>
        <w:rPr>
          <w:highlight w:val="none"/>
        </w:rPr>
      </w:pPr>
      <w:bookmarkStart w:id="52" w:name="_Toc91488182"/>
      <w:r>
        <w:rPr>
          <w:rFonts w:hint="eastAsia"/>
          <w:highlight w:val="none"/>
        </w:rPr>
        <w:t>加快非户籍常住人口全面融入城市</w:t>
      </w:r>
      <w:bookmarkEnd w:id="52"/>
    </w:p>
    <w:p>
      <w:pPr>
        <w:ind w:firstLine="640"/>
        <w:rPr>
          <w:highlight w:val="none"/>
        </w:rPr>
      </w:pPr>
      <w:r>
        <w:rPr>
          <w:rFonts w:hint="eastAsia" w:ascii="仿宋_GB2312" w:hAnsi="仿宋"/>
          <w:bCs/>
          <w:szCs w:val="32"/>
          <w:highlight w:val="none"/>
        </w:rPr>
        <w:t>提升非户籍人口融入城市的能力，加强包容性城市建设，推动非户籍人口深度融入城市生活，提高非户籍人口的市民身份认同感。</w:t>
      </w:r>
    </w:p>
    <w:p>
      <w:pPr>
        <w:ind w:firstLine="640"/>
        <w:rPr>
          <w:rFonts w:ascii="仿宋_GB2312"/>
          <w:highlight w:val="none"/>
        </w:rPr>
      </w:pPr>
      <w:r>
        <w:rPr>
          <w:rFonts w:hint="eastAsia" w:ascii="楷体_GB2312" w:eastAsia="楷体_GB2312"/>
          <w:highlight w:val="none"/>
        </w:rPr>
        <w:t>提升非户籍人口文化素质和专业技能。</w:t>
      </w:r>
      <w:r>
        <w:rPr>
          <w:rFonts w:hint="eastAsia" w:ascii="仿宋_GB2312"/>
          <w:highlight w:val="none"/>
        </w:rPr>
        <w:t>将职业技能培训贯穿于非户籍人口职业生涯的全过程，持续增强非户籍人口就业竞争力。支持非户籍人口接受职业教育，</w:t>
      </w:r>
      <w:r>
        <w:rPr>
          <w:rFonts w:ascii="仿宋_GB2312"/>
          <w:highlight w:val="none"/>
        </w:rPr>
        <w:t>扩大职业院校面向</w:t>
      </w:r>
      <w:r>
        <w:rPr>
          <w:rFonts w:hint="eastAsia" w:ascii="仿宋_GB2312"/>
          <w:highlight w:val="none"/>
        </w:rPr>
        <w:t>非户籍人口</w:t>
      </w:r>
      <w:r>
        <w:rPr>
          <w:rFonts w:ascii="仿宋_GB2312"/>
          <w:highlight w:val="none"/>
        </w:rPr>
        <w:t>的招生规模。探索通过技能水平测试等方式对农民工进行学历教育学分认定。</w:t>
      </w:r>
      <w:r>
        <w:rPr>
          <w:rFonts w:hint="eastAsia" w:ascii="仿宋_GB2312"/>
          <w:highlight w:val="none"/>
        </w:rPr>
        <w:t>完善职业培训补贴和生活费补贴机制，支持企业开展岗前培训、新型学徒制培训和职业技能提升培训。积极支持有实力的职业学校开展大规模职业技能培训。强化数字赋能，打造职业培训线上平台，共享优质师资资源、课程资源，扩大普惠制、普及型的职业技能培训。</w:t>
      </w:r>
    </w:p>
    <w:p>
      <w:pPr>
        <w:ind w:firstLine="640"/>
        <w:rPr>
          <w:rFonts w:ascii="仿宋_GB2312"/>
          <w:highlight w:val="none"/>
        </w:rPr>
      </w:pPr>
      <w:r>
        <w:rPr>
          <w:rFonts w:hint="eastAsia" w:ascii="楷体_GB2312" w:eastAsia="楷体_GB2312"/>
          <w:highlight w:val="none"/>
        </w:rPr>
        <w:t>加强非户籍人口劳动权益保障。</w:t>
      </w:r>
      <w:r>
        <w:rPr>
          <w:rFonts w:hint="eastAsia" w:ascii="仿宋_GB2312"/>
          <w:highlight w:val="none"/>
        </w:rPr>
        <w:t>持续推进公共就业服务标准化建设，实施城乡一体的就业和失业登记管理制度。</w:t>
      </w:r>
      <w:r>
        <w:rPr>
          <w:rFonts w:ascii="仿宋_GB2312"/>
          <w:highlight w:val="none"/>
        </w:rPr>
        <w:t>实现就业率与城镇化率同向提升，城镇调查失业率控制在5.5%以内</w:t>
      </w:r>
      <w:r>
        <w:rPr>
          <w:rFonts w:hint="eastAsia" w:ascii="仿宋_GB2312"/>
          <w:highlight w:val="none"/>
        </w:rPr>
        <w:t>。推进进城务工人员与城镇职工同工同酬，平等参加职工社会保险并享受相关待遇，加大农民工“高温津贴”“低温津贴”实施力度。持续推进根治欠薪专项行动，坚决维护其合法权益。围绕提升维权意识，多渠道、针对性地开展农业转移人口的普法教育，</w:t>
      </w:r>
      <w:r>
        <w:rPr>
          <w:rFonts w:ascii="仿宋_GB2312"/>
          <w:highlight w:val="none"/>
        </w:rPr>
        <w:t>畅通</w:t>
      </w:r>
      <w:r>
        <w:rPr>
          <w:rFonts w:hint="eastAsia" w:ascii="仿宋_GB2312"/>
          <w:highlight w:val="none"/>
        </w:rPr>
        <w:t>非户籍人口</w:t>
      </w:r>
      <w:r>
        <w:rPr>
          <w:rFonts w:ascii="仿宋_GB2312"/>
          <w:highlight w:val="none"/>
        </w:rPr>
        <w:t>维权渠道，发挥乡镇（街道）公共法律服务站、村（社区）法律顾问等作用，提供便捷高效的法律服务。</w:t>
      </w:r>
    </w:p>
    <w:p>
      <w:pPr>
        <w:ind w:firstLine="640"/>
        <w:rPr>
          <w:highlight w:val="none"/>
        </w:rPr>
      </w:pPr>
      <w:r>
        <w:rPr>
          <w:rFonts w:hint="eastAsia" w:ascii="楷体_GB2312" w:eastAsia="楷体_GB2312"/>
          <w:highlight w:val="none"/>
        </w:rPr>
        <w:t>完善非户籍人口社会参与机制。</w:t>
      </w:r>
      <w:r>
        <w:rPr>
          <w:rFonts w:hint="eastAsia"/>
          <w:highlight w:val="none"/>
        </w:rPr>
        <w:t>加强包容性城市建设，大力推进非户籍人口融入企业、子女融入学校、家庭融入社区、群体融入社会。积极引导符合条件的非户籍人口参加党组织、工会和社团组织，有序参政议政和参加社会管理。丰富非户籍人口社会参与渠道，充分发挥各类群团组织的沟通联系作用，鼓励和引导以非户籍人口为服务对象的社会组织发展，及时反映非户籍人口的利益诉求。充分发挥社区的</w:t>
      </w:r>
      <w:r>
        <w:rPr>
          <w:rFonts w:hint="eastAsia" w:ascii="仿宋_GB2312"/>
          <w:highlight w:val="none"/>
        </w:rPr>
        <w:t>社会融合功能，营造非户籍人口与城市居民间的互动环境。</w:t>
      </w:r>
      <w:r>
        <w:rPr>
          <w:rFonts w:ascii="仿宋_GB2312"/>
          <w:highlight w:val="none"/>
        </w:rPr>
        <w:t>不断丰富</w:t>
      </w:r>
      <w:r>
        <w:rPr>
          <w:rFonts w:hint="eastAsia" w:ascii="仿宋_GB2312"/>
          <w:highlight w:val="none"/>
        </w:rPr>
        <w:t>非户籍人口</w:t>
      </w:r>
      <w:r>
        <w:rPr>
          <w:rFonts w:ascii="仿宋_GB2312"/>
          <w:highlight w:val="none"/>
        </w:rPr>
        <w:t>精神文化生活</w:t>
      </w:r>
      <w:r>
        <w:rPr>
          <w:rFonts w:hint="eastAsia" w:ascii="仿宋_GB2312"/>
          <w:highlight w:val="none"/>
        </w:rPr>
        <w:t>，增强城市的责任感、认同感和归属感。</w:t>
      </w:r>
    </w:p>
    <w:p>
      <w:pPr>
        <w:ind w:firstLine="640"/>
        <w:rPr>
          <w:highlight w:val="none"/>
        </w:rPr>
      </w:pPr>
      <w:r>
        <w:rPr>
          <w:rFonts w:hint="eastAsia" w:ascii="楷体_GB2312" w:eastAsia="楷体_GB2312"/>
          <w:highlight w:val="none"/>
        </w:rPr>
        <w:t>完善人口市民化配套机制。</w:t>
      </w:r>
      <w:r>
        <w:rPr>
          <w:rFonts w:hint="eastAsia" w:ascii="仿宋_GB2312" w:hAnsi="仿宋"/>
          <w:bCs/>
          <w:szCs w:val="32"/>
          <w:highlight w:val="none"/>
        </w:rPr>
        <w:t>深化“人地钱挂钩”政策，</w:t>
      </w:r>
      <w:r>
        <w:rPr>
          <w:rFonts w:hint="eastAsia" w:ascii="仿宋_GB2312"/>
          <w:highlight w:val="none"/>
        </w:rPr>
        <w:t>遵循“基本公共服务随人走”的基本原则，加快形成有利于基本公共服务均等化、城乡发展一体化的公共财政保障机制。推动常住人口增长规模与城镇建设用地规模及公共服务设施用地保障相匹配，加大批而未供和闲置土地处置力度，鼓励盘活存量建设用地。进一步合理确定各级政府在教育、医疗卫生、社会保障、生态环境等领域的事权和支出责任，落实好财政转移支付与常住人口挂钩机制。积极争取中央农业转移人口市民化奖励资金，健全奖励资金分配机制。加快建立现代化人口管理服务制度，推进人口基础信息库建设，以公安户籍信息为基础，打通人口管理、就学升学、生育健康、婚姻家庭、就业创业、社会保障等领域信息系统</w:t>
      </w:r>
      <w:r>
        <w:rPr>
          <w:rFonts w:ascii="仿宋_GB2312"/>
          <w:highlight w:val="none"/>
        </w:rPr>
        <w:t>，逐步实现跨部门、跨地区信息整合和共享，</w:t>
      </w:r>
      <w:r>
        <w:rPr>
          <w:rFonts w:hint="eastAsia" w:ascii="仿宋_GB2312"/>
          <w:highlight w:val="none"/>
        </w:rPr>
        <w:t>积极与国家、省及胶东经济圈城市人口数据平台对接。开展流动人口动态监测，推进人口大数据研究应用，不断完善人口发展综合决策机制</w:t>
      </w:r>
    </w:p>
    <w:p>
      <w:pPr>
        <w:pStyle w:val="3"/>
        <w:rPr>
          <w:highlight w:val="none"/>
        </w:rPr>
      </w:pPr>
      <w:bookmarkStart w:id="53" w:name="_Toc91488183"/>
      <w:bookmarkStart w:id="54" w:name="_Toc88552458"/>
      <w:r>
        <w:rPr>
          <w:rFonts w:hint="eastAsia"/>
          <w:highlight w:val="none"/>
        </w:rPr>
        <w:t>第三节 引导城乡要素双向自由流动</w:t>
      </w:r>
      <w:bookmarkEnd w:id="53"/>
      <w:bookmarkEnd w:id="54"/>
    </w:p>
    <w:p>
      <w:pPr>
        <w:ind w:firstLine="640"/>
        <w:rPr>
          <w:highlight w:val="none"/>
        </w:rPr>
      </w:pPr>
      <w:r>
        <w:rPr>
          <w:rFonts w:hint="eastAsia" w:ascii="仿宋_GB2312" w:hAnsi="Calibri" w:cs="Times New Roman"/>
          <w:highlight w:val="none"/>
        </w:rPr>
        <w:t>建立健全城乡统一的要素市场，坚决破除制约城乡要素流动的体制机制障碍，推动人才、土地、资金、技术等要素更多向乡村流动，健全财政支农机制等体制机制，增强农业农村发展活力。</w:t>
      </w:r>
    </w:p>
    <w:p>
      <w:pPr>
        <w:ind w:firstLine="640"/>
        <w:rPr>
          <w:rFonts w:ascii="仿宋_GB2312"/>
          <w:highlight w:val="none"/>
        </w:rPr>
      </w:pPr>
      <w:r>
        <w:rPr>
          <w:rFonts w:hint="eastAsia" w:ascii="楷体_GB2312" w:eastAsia="楷体_GB2312"/>
          <w:highlight w:val="none"/>
        </w:rPr>
        <w:t>探索农村权益价值实现机制。</w:t>
      </w:r>
      <w:r>
        <w:rPr>
          <w:rFonts w:hint="eastAsia" w:ascii="仿宋_GB2312" w:hAnsi="Calibri" w:cs="Times New Roman"/>
          <w:highlight w:val="none"/>
        </w:rPr>
        <w:t>创新进城落户农民依法自愿有偿转让退出农村权益制度。积极落实“三权到人（户）、权随人（户）走”，鼓励进城落户农民依法自愿有偿转让退出农村权益。坚持土地承包关系长久稳定，发展多种形式的适度规模经营，进一步提高农村土地流转。完善农村承包地“三权分置”制度，探索宅基地所有权、资格权、使用权三权分置的有效实现形式。探索农村集体经营性建设用地入市制度。健全城乡统一的建设用地市场，探索建立农村集体经营性建设用地使用权转让、出租、抵押二级市场。深化农村集体产权制度改革，完善产权权能，将经营性资产量化到集体经济组织成员，发展壮大新型农村集体经济。</w:t>
      </w:r>
    </w:p>
    <w:p>
      <w:pPr>
        <w:ind w:firstLine="640"/>
        <w:rPr>
          <w:rFonts w:ascii="仿宋_GB2312"/>
          <w:highlight w:val="none"/>
        </w:rPr>
      </w:pPr>
      <w:r>
        <w:rPr>
          <w:rFonts w:hint="eastAsia" w:ascii="楷体_GB2312" w:eastAsia="楷体_GB2312"/>
          <w:highlight w:val="none"/>
        </w:rPr>
        <w:t>加快推进乡村人才振兴。</w:t>
      </w:r>
      <w:r>
        <w:rPr>
          <w:rFonts w:hint="eastAsia" w:ascii="仿宋_GB2312" w:hAnsi="Calibri" w:cs="Times New Roman"/>
          <w:highlight w:val="none"/>
        </w:rPr>
        <w:t>制定财政、金融、社会保障等激励政策，吸引各类人才返乡入乡创业。鼓励原籍普通高校和职业院校毕业生、外出农民工及经商人员回乡创业兴业。推进大学生村官与选调生工作衔接，鼓励引导高校毕业生到村任职、扎根基层、发挥作用。建立选派第一书记工作长效机制。建立城乡人才合作交流机制，探索通过岗编适度分离等多种方式，推进城市教科文卫体等工作人员定期服务乡村。落实“定向评价、定向使用”职称制度和直评直聘政策，推动职称评定、工资待遇等向乡村教师、医生倾斜，优化乡村教师、医生中高级岗位结构比例。</w:t>
      </w:r>
    </w:p>
    <w:p>
      <w:pPr>
        <w:ind w:firstLine="640"/>
        <w:rPr>
          <w:rFonts w:ascii="仿宋_GB2312"/>
          <w:highlight w:val="none"/>
        </w:rPr>
      </w:pPr>
      <w:r>
        <w:rPr>
          <w:rFonts w:hint="eastAsia" w:ascii="楷体_GB2312" w:eastAsia="楷体_GB2312"/>
          <w:highlight w:val="none"/>
        </w:rPr>
        <w:t>稳步推进工商资本下乡、科技成果入乡。</w:t>
      </w:r>
      <w:r>
        <w:rPr>
          <w:rFonts w:hint="eastAsia" w:ascii="仿宋_GB2312" w:hAnsi="Calibri" w:cs="Times New Roman"/>
          <w:highlight w:val="none"/>
        </w:rPr>
        <w:t>支持工商资本进入乡村产业领域。充分发挥农业融资担保机构的作用，加大对新型农业经营主体支持力度，为乡村产业发展提供信贷保障。建立健全农业保险制度，增加保险种类，扩大保险覆盖面，提高保障水平。健全涉农技术创新市场导向机制和产学研用合作机制，加强与中科院、山东农业大学等国家级省级科研单位、农业院校战略合作，共同实施合作开发项目，取得一批集成创新成果。鼓励创建技术转移机构和技术服务网络，加快完善涉农科研平台体系建设，推进国家玉米工程技术研究中心、国家玉米新品种技术研究推广中心等创新平台提质升级，打造高水平农业领域技术创新平台。</w:t>
      </w:r>
    </w:p>
    <w:p>
      <w:pPr>
        <w:ind w:firstLine="640"/>
        <w:rPr>
          <w:rFonts w:ascii="仿宋_GB2312"/>
          <w:highlight w:val="none"/>
        </w:rPr>
      </w:pPr>
      <w:r>
        <w:rPr>
          <w:rFonts w:hint="eastAsia" w:ascii="楷体_GB2312" w:eastAsia="楷体_GB2312"/>
          <w:highlight w:val="none"/>
        </w:rPr>
        <w:t>高效利用城乡低效闲置土地资源。</w:t>
      </w:r>
      <w:r>
        <w:rPr>
          <w:rFonts w:hint="eastAsia" w:ascii="仿宋_GB2312" w:hAnsi="Calibri" w:cs="Times New Roman"/>
          <w:highlight w:val="none"/>
        </w:rPr>
        <w:t>重点引导工业区、老旧小区连片改造，注重工业遗产保护与利用，注重老旧小区及周边区域综合改造提升，优先保障市政基础设施、公共服务设施等用地。以城镇低效用地数据库为依托，统筹考虑城市功能再造、产业结构调整、生态环境保护、历史文化传承、公共卫生安全等因素，明确改造利用的目标任务、性质用途、规模布局和时序安排等。规范政府收储改造，涉及城中村集体建设用地改造、由政府收储用于经营性用地开发的，可将土地出让政府收益按照一定的比例，通过预算安排支持原农村集体经济组织用于新农村建设。</w:t>
      </w:r>
    </w:p>
    <w:p>
      <w:pPr>
        <w:ind w:firstLine="640"/>
        <w:rPr>
          <w:rFonts w:ascii="仿宋_GB2312"/>
          <w:highlight w:val="none"/>
        </w:rPr>
      </w:pPr>
      <w:r>
        <w:rPr>
          <w:rFonts w:hint="eastAsia" w:ascii="楷体_GB2312" w:eastAsia="楷体_GB2312"/>
          <w:highlight w:val="none"/>
        </w:rPr>
        <w:t>健全财政支农机制。</w:t>
      </w:r>
      <w:r>
        <w:rPr>
          <w:rFonts w:hint="eastAsia" w:ascii="仿宋_GB2312" w:hAnsi="Calibri" w:cs="Times New Roman"/>
          <w:highlight w:val="none"/>
        </w:rPr>
        <w:t>加强财政支农政策顶层设计，强化涉农资金统筹整合及使用绩效监督，各类涉农基金向乡村产业倾斜。优化资金支出结构，突出绿色生态导向，增量资金主要向资源节约型、环境友好型农业倾斜，提高农业补贴政策效能。通过政府与社会资本合作、政府购买服务、担保贴息、以奖代补、民办公助、风险补偿等措施，引导和撬动更多金融资本和社会资本投向农业农村。</w:t>
      </w:r>
    </w:p>
    <w:p>
      <w:pPr>
        <w:ind w:firstLine="640"/>
        <w:rPr>
          <w:rFonts w:ascii="仿宋_GB2312"/>
          <w:highlight w:val="none"/>
        </w:rPr>
      </w:pPr>
      <w:r>
        <w:rPr>
          <w:rFonts w:hint="eastAsia" w:ascii="楷体_GB2312" w:eastAsia="楷体_GB2312"/>
          <w:highlight w:val="none"/>
        </w:rPr>
        <w:t>完善乡村金融服务体系。</w:t>
      </w:r>
      <w:r>
        <w:rPr>
          <w:rFonts w:hint="eastAsia" w:ascii="仿宋_GB2312" w:hAnsi="Calibri" w:cs="Times New Roman"/>
          <w:highlight w:val="none"/>
        </w:rPr>
        <w:t>盘活农村金融资源，拓展农业信贷渠道，鼓励有条件的企业成立小额贷款公司，在全市全面开展农民专业合作社信用互助业务试点。积极探索农村承包土地经营权和农民住房财产抵押贷款试点。深入推进海域使用权抵押贷款，盘活农民手中的“沉睡财富”。积极探索适合新型经营主体的农业设备抵押贷款、大型农机设备租赁以及订单融资、应收账款融资业务。创新推广水利机具抵押贷款等融资模式，改进农业生产条件。强化创业担保贷款担保基金作用，扶持大学生创业。</w:t>
      </w:r>
      <w:bookmarkStart w:id="55" w:name="_Toc88552460"/>
    </w:p>
    <w:p>
      <w:pPr>
        <w:pStyle w:val="3"/>
        <w:rPr>
          <w:highlight w:val="none"/>
        </w:rPr>
      </w:pPr>
      <w:bookmarkStart w:id="56" w:name="_Toc91488184"/>
      <w:r>
        <w:rPr>
          <w:rFonts w:hint="eastAsia"/>
          <w:highlight w:val="none"/>
        </w:rPr>
        <w:t>第四节 推进城乡优质资源普惠共享</w:t>
      </w:r>
      <w:bookmarkEnd w:id="55"/>
      <w:bookmarkEnd w:id="56"/>
    </w:p>
    <w:p>
      <w:pPr>
        <w:ind w:firstLine="640"/>
        <w:rPr>
          <w:highlight w:val="none"/>
        </w:rPr>
      </w:pPr>
      <w:r>
        <w:rPr>
          <w:rFonts w:hint="eastAsia" w:ascii="仿宋_GB2312" w:hAnsi="Calibri" w:cs="Times New Roman"/>
          <w:highlight w:val="none"/>
        </w:rPr>
        <w:t>强化农村公共服务供给县乡村统筹，加快推动形成县域统筹规划布局、县乡村功能衔接互补的公共服务体系，统筹城乡基础设施，加快推进城乡融合发展，全面提升乡村宜居水平，发掘弘扬乡村特色文化，建设美丽宜居乡村。</w:t>
      </w:r>
    </w:p>
    <w:p>
      <w:pPr>
        <w:ind w:firstLine="640"/>
        <w:rPr>
          <w:rFonts w:ascii="楷体_GB2312" w:eastAsia="楷体_GB2312"/>
          <w:highlight w:val="none"/>
        </w:rPr>
      </w:pPr>
      <w:bookmarkStart w:id="57" w:name="_Toc88552459"/>
      <w:r>
        <w:rPr>
          <w:rFonts w:hint="eastAsia" w:ascii="楷体_GB2312" w:eastAsia="楷体_GB2312"/>
          <w:highlight w:val="none"/>
        </w:rPr>
        <w:t>推动城乡基础设施深入融合</w:t>
      </w:r>
      <w:bookmarkEnd w:id="57"/>
      <w:r>
        <w:rPr>
          <w:rFonts w:hint="eastAsia" w:ascii="楷体_GB2312" w:eastAsia="楷体_GB2312"/>
          <w:highlight w:val="none"/>
        </w:rPr>
        <w:t>。</w:t>
      </w:r>
      <w:r>
        <w:rPr>
          <w:rFonts w:hint="eastAsia" w:ascii="仿宋_GB2312" w:hAnsi="Calibri" w:cs="Times New Roman"/>
          <w:highlight w:val="none"/>
        </w:rPr>
        <w:t>加强城乡基础设施一体化建设。推动城镇基础设施向农村延伸，深化“四好农村路”建设，稳步推进“户户通”工程，努力打通农村交通网。推进城乡基础设施一体化管护。明确管护责任，逐步完善农村公路、城乡环卫一体化、农村污水治理、无害化卫生厕所管养体系。促进乡村基础设施提档升级。推进“数字乡村”建设，探索推进智慧农业、智慧村务、智慧医疗、智慧教育和智慧旅游等建设。健全</w:t>
      </w:r>
      <w:bookmarkStart w:id="58" w:name="_Hlk85894893"/>
      <w:r>
        <w:rPr>
          <w:rFonts w:hint="eastAsia" w:ascii="仿宋_GB2312" w:hAnsi="Calibri" w:cs="Times New Roman"/>
          <w:highlight w:val="none"/>
        </w:rPr>
        <w:t>乡村基础设施</w:t>
      </w:r>
      <w:bookmarkEnd w:id="58"/>
      <w:r>
        <w:rPr>
          <w:rFonts w:hint="eastAsia" w:ascii="仿宋_GB2312" w:hAnsi="Calibri" w:cs="Times New Roman"/>
          <w:highlight w:val="none"/>
        </w:rPr>
        <w:t>分级分类投入机制。创新农村基础设施资金保障机制，形成财政优先保障、金融重点倾斜、社会积极参与的多元投入机制。</w:t>
      </w:r>
    </w:p>
    <w:p>
      <w:pPr>
        <w:ind w:firstLine="640"/>
        <w:rPr>
          <w:rFonts w:ascii="仿宋_GB2312"/>
          <w:highlight w:val="none"/>
        </w:rPr>
      </w:pPr>
      <w:r>
        <w:rPr>
          <w:rFonts w:hint="eastAsia" w:ascii="楷体_GB2312" w:eastAsia="楷体_GB2312"/>
          <w:highlight w:val="none"/>
        </w:rPr>
        <w:t>均衡配置城乡优质教育资源。</w:t>
      </w:r>
      <w:r>
        <w:rPr>
          <w:rFonts w:hint="eastAsia" w:ascii="仿宋_GB2312" w:hAnsi="Calibri" w:cs="Times New Roman"/>
          <w:highlight w:val="none"/>
        </w:rPr>
        <w:t>实施乡村学校布局优化工程，合理布局乡村学校、幼儿园。实施乡村学校办学条件提升工程，强化乡村学校服务能力。实施乡村教育带头人培养工程。充分保障和落实乡村学校校长、教师在经费使用、选人用人、教学教研等方面的自主权。实施乡村教师配备工程，建立健全城乡学校校长、教师定期交流制度。加大城乡师资统筹配置力度，全面深化中小学教师“县管校聘”管理改革，稳妥推进义务教育段教师校内—学区—县域“三级竞聘”制度。实施乡村办学质量提升工程，推行城区学校和乡村学校一体办学、协同发展、综合考评。</w:t>
      </w:r>
    </w:p>
    <w:p>
      <w:pPr>
        <w:ind w:firstLine="640"/>
        <w:rPr>
          <w:rFonts w:ascii="仿宋_GB2312"/>
          <w:highlight w:val="none"/>
        </w:rPr>
      </w:pPr>
      <w:r>
        <w:rPr>
          <w:rFonts w:hint="eastAsia" w:ascii="楷体_GB2312" w:eastAsia="楷体_GB2312"/>
          <w:highlight w:val="none"/>
        </w:rPr>
        <w:t>健全城乡医疗健康服务体系。</w:t>
      </w:r>
      <w:r>
        <w:rPr>
          <w:rFonts w:hint="eastAsia" w:ascii="仿宋_GB2312" w:hAnsi="Calibri" w:cs="Times New Roman"/>
          <w:highlight w:val="none"/>
        </w:rPr>
        <w:t>推动基层医疗卫生机构提档升级，实施基层医疗卫生服务能力提升3年行动，发展县域医共体，建成以中心村卫生室为主体、一般村卫生室和村卫生室服务点为补充，公益特色鲜明的村级医疗卫生服务体系，形成农村地区15分钟健康服务圈。统筹平衡基层医疗卫生机构与当地县级公立医院绩效工资水平的关系，基层机构人员收入逐步达到县级医院同职级人员水平。配齐配强基层机构人才队伍，积极推行“县招乡管村用”。进一步开展“百名专家联镇街，千名医生下基层”活动。建立城乡一体化医疗卫生信息化平台，拓展健康大数据应用，实现医疗信息互联互通。推动体育高质量发展，统筹推进城乡健身场所设施建设，因地制宜建立完善全民健身服务体系。</w:t>
      </w:r>
    </w:p>
    <w:p>
      <w:pPr>
        <w:ind w:firstLine="640"/>
        <w:rPr>
          <w:rFonts w:ascii="仿宋_GB2312"/>
          <w:highlight w:val="none"/>
        </w:rPr>
      </w:pPr>
      <w:r>
        <w:rPr>
          <w:rFonts w:hint="eastAsia" w:ascii="楷体_GB2312" w:eastAsia="楷体_GB2312"/>
          <w:highlight w:val="none"/>
        </w:rPr>
        <w:t>加强城乡公共文化服务体系。</w:t>
      </w:r>
      <w:r>
        <w:rPr>
          <w:rFonts w:hint="eastAsia" w:ascii="仿宋_GB2312" w:hAnsi="Calibri" w:cs="Times New Roman"/>
          <w:highlight w:val="none"/>
        </w:rPr>
        <w:t>强化城乡公共文化服务，推进城乡公共文化服务体系一体建设，健全覆盖市、县、乡、村四级公共文化设施网络。实施乡村文化设施升级工程，建设新时代农民文化乐园示范点，建成市新文化中心等标志性文化设施，全力推进乡、村两级综合性文化服务中心建设。丰富提升公共文化服务产品供给，支持乡村民间文化团体开展符合乡村特点的文化活动，实施乡村文化活动覆盖工程。推动非物质文化遗产活态传承，实施乡村特色文化保护传承工程，实施乡村文艺创作“繁星”工程。加快推进公共文化服务云平台建设，推动公共文化数字化，加快建设数字图书馆、网上文化馆、网上剧院等数字文化工程。大力推进全民阅读，建设“书香烟台”。</w:t>
      </w:r>
    </w:p>
    <w:p>
      <w:pPr>
        <w:ind w:firstLine="640"/>
        <w:rPr>
          <w:rFonts w:ascii="仿宋_GB2312"/>
          <w:highlight w:val="none"/>
        </w:rPr>
      </w:pPr>
      <w:r>
        <w:rPr>
          <w:rFonts w:hint="eastAsia" w:ascii="楷体_GB2312" w:eastAsia="楷体_GB2312"/>
          <w:highlight w:val="none"/>
        </w:rPr>
        <w:t>构建统筹城乡的社会保障体系。</w:t>
      </w:r>
      <w:r>
        <w:rPr>
          <w:rFonts w:hint="eastAsia" w:ascii="仿宋_GB2312" w:hAnsi="Calibri" w:cs="Times New Roman"/>
          <w:highlight w:val="none"/>
        </w:rPr>
        <w:t>加大城乡社保资金补贴力度，稳步提高居民基本医保和大病保险筹资标准，提高居民基本医保和大病保险待遇水平。实施全民参保计划，鼓励未与用人单位签订劳动合同的新业态从业人员及其他灵活就业人员，在就业地或户籍地参加职工基本养老保险和基本医疗保险。推进低保制度城乡统筹，健全低保标准动态调整机制，确保动态管理下应保尽保。做好扩大失业保险保障范围工作，继续实施普惠性失业保险稳岗返还政策，继续实施失业保险保障扩围政策。扩大养老育幼服务供给，健全养老服务网络，街道综合养老服务中心实现全覆盖，发展普惠托育服务体系。</w:t>
      </w:r>
    </w:p>
    <w:p>
      <w:pPr>
        <w:pStyle w:val="3"/>
        <w:rPr>
          <w:highlight w:val="none"/>
        </w:rPr>
      </w:pPr>
      <w:bookmarkStart w:id="59" w:name="_Toc88552461"/>
      <w:bookmarkStart w:id="60" w:name="_Toc91488185"/>
      <w:bookmarkStart w:id="61" w:name="_Toc88552462"/>
      <w:r>
        <w:rPr>
          <w:rFonts w:hint="eastAsia"/>
          <w:highlight w:val="none"/>
        </w:rPr>
        <w:t>第五节 推动城乡产业多元化发展</w:t>
      </w:r>
      <w:bookmarkEnd w:id="59"/>
      <w:bookmarkEnd w:id="60"/>
    </w:p>
    <w:p>
      <w:pPr>
        <w:ind w:firstLine="640"/>
        <w:rPr>
          <w:highlight w:val="none"/>
        </w:rPr>
      </w:pPr>
      <w:r>
        <w:rPr>
          <w:rFonts w:hint="eastAsia" w:ascii="仿宋_GB2312" w:hAnsi="Calibri" w:cs="Times New Roman"/>
          <w:highlight w:val="none"/>
        </w:rPr>
        <w:t>聚焦城乡经济多元化融合发展，深化农业供给侧结构性改革，搭建城乡产业协同发展平台，推动城乡产业融合发展，做好质量兴农、绿色兴农、科技兴农，不断提高农业竞争力，为城镇化和城乡融合发展提供强有力的产业支撑，缩小城乡发展差距。</w:t>
      </w:r>
    </w:p>
    <w:p>
      <w:pPr>
        <w:ind w:firstLine="640"/>
        <w:rPr>
          <w:rFonts w:ascii="仿宋_GB2312"/>
          <w:highlight w:val="none"/>
        </w:rPr>
      </w:pPr>
      <w:r>
        <w:rPr>
          <w:rFonts w:hint="eastAsia" w:ascii="楷体_GB2312" w:eastAsia="楷体_GB2312"/>
          <w:highlight w:val="none"/>
        </w:rPr>
        <w:t>提高粮食和重要农产品供给保障能力。</w:t>
      </w:r>
      <w:r>
        <w:rPr>
          <w:rFonts w:hint="eastAsia" w:ascii="仿宋_GB2312"/>
          <w:highlight w:val="none"/>
        </w:rPr>
        <w:t>坚决扛牢粮食生产责任，确保粮食安全, 提升农业质量效益和整体竞争力。严守耕地保护红线，抓好农田水利及高标准农田建设。推进产业提档升级，发展高质量农业，提供农产品和服务的供给质量和效率。加快推进粮食生产功能区和特色农产品优势区建设，推动粮棉油、瓜果菜、肉蛋奶、畜禽和水产品生产提质增效。实施烟台苹果高质量发展工程，培育扩大莱阳梨特色品牌优势，巩固烟台葡萄酒产业的品牌效应和竞争优势。坚持质量兴农、品牌强农，建设一批标准化农产品供给基地和智慧型现代农业示范园区。</w:t>
      </w:r>
    </w:p>
    <w:p>
      <w:pPr>
        <w:ind w:firstLine="640"/>
        <w:rPr>
          <w:rFonts w:ascii="仿宋_GB2312"/>
          <w:highlight w:val="none"/>
        </w:rPr>
      </w:pPr>
      <w:r>
        <w:rPr>
          <w:rFonts w:hint="eastAsia" w:ascii="楷体_GB2312" w:eastAsia="楷体_GB2312"/>
          <w:highlight w:val="none"/>
        </w:rPr>
        <w:t>推动城乡产业融合发展。</w:t>
      </w:r>
      <w:r>
        <w:rPr>
          <w:rFonts w:hint="eastAsia" w:ascii="仿宋_GB2312"/>
          <w:highlight w:val="none"/>
        </w:rPr>
        <w:t>依托城市产业转移和城市企业入村，带动新兴产业发展和一、二、三产业融合发展；依托乡村特色优势资源，促进农业产业链拓展延伸，利用“旅游+”、“生态+”等模式，推进农、林、牧、渔、教育、文化、康养与旅游业的广度融合，发展观光农业、体验农业和创意农业，增强乡村产业新动能。实施乡村休闲旅游精品工程，创建一批美丽休闲乡村、休闲农业园区。建立规范创建和示范引领机制，加快培育特色小镇，成为集聚特色产业的重要平台, 带动休闲农业、乡村旅游、民宿经济等特色产业发展。因地制宜发展精品民宿、医疗养生、游学研学、农村电商、农产品定制等新业态，促进农业与文化、旅游、教育、康养、互联网等业态深度融合。</w:t>
      </w:r>
    </w:p>
    <w:p>
      <w:pPr>
        <w:ind w:firstLine="640"/>
        <w:rPr>
          <w:rFonts w:ascii="仿宋_GB2312"/>
          <w:highlight w:val="none"/>
        </w:rPr>
      </w:pPr>
      <w:r>
        <w:rPr>
          <w:rFonts w:hint="eastAsia" w:ascii="楷体_GB2312" w:eastAsia="楷体_GB2312"/>
          <w:highlight w:val="none"/>
        </w:rPr>
        <w:t>搭建城乡产业协同发展平台。</w:t>
      </w:r>
      <w:r>
        <w:rPr>
          <w:rFonts w:hint="eastAsia" w:ascii="仿宋_GB2312"/>
          <w:highlight w:val="none"/>
        </w:rPr>
        <w:t>把握产业协同发展大趋势，统筹城乡产业协同发展布局，依托西部片区获批省级首批城乡融合发展试验区的契机，培育蓬莱区高端文化旅游聚集区、省级现代农业产业园区，福山区北部智造芯城、南部夹河新城，经济技术开发区八角湾中央创新区、海洋经济创新区等一系列城乡产业协同发展平台和项目，建设全域城乡产业协同发展先行区，优化城乡产业融合布局，夯实城乡产业融合基础，拓展城乡产业融合空间，创新城乡产业融合模式。围绕优势特色产业，打造一批现代农业产业园、农业产业强镇、乡土产业名品村和工业聚集区，推进农业关联产业聚集发展、生产加工流通一体化发展和一二三产业融合发展。</w:t>
      </w:r>
    </w:p>
    <w:p>
      <w:pPr>
        <w:ind w:firstLine="640"/>
        <w:rPr>
          <w:rFonts w:ascii="仿宋_GB2312"/>
          <w:highlight w:val="none"/>
        </w:rPr>
      </w:pPr>
      <w:r>
        <w:rPr>
          <w:rFonts w:hint="eastAsia" w:ascii="楷体_GB2312" w:eastAsia="楷体_GB2312"/>
          <w:highlight w:val="none"/>
        </w:rPr>
        <w:t>健全现代农业发展支持体系。</w:t>
      </w:r>
      <w:r>
        <w:rPr>
          <w:rFonts w:hint="eastAsia" w:ascii="仿宋_GB2312"/>
          <w:highlight w:val="none"/>
        </w:rPr>
        <w:t>优化农业生产结构和区域布局，持续推进质量兴农、绿色兴农、品牌强农，增加绿色优质农产品供给。着力培育新型农业经营主体，发展多种形式适度规模经营，培育壮大农业专业化的社会化服务组织，突出抓好农民合作社和家庭农场两类农业经营主体发展，培育专业化、市场化服务组织，大力开展以生产托管为主的农业生产社会化服务，促进小农户和现代农业发展有机衔接，帮助小农户节本增收。引导科技成果入乡转化，积极培育农业品牌和绿色食品认证。完善农村流通基础设施网络布局，提升农业竞争力，推动农业高质量发展。</w:t>
      </w:r>
    </w:p>
    <w:p>
      <w:pPr>
        <w:ind w:firstLine="640"/>
        <w:rPr>
          <w:rFonts w:ascii="仿宋_GB2312"/>
          <w:highlight w:val="none"/>
        </w:rPr>
      </w:pPr>
      <w:r>
        <w:rPr>
          <w:rFonts w:hint="eastAsia" w:ascii="楷体_GB2312" w:eastAsia="楷体_GB2312"/>
          <w:highlight w:val="none"/>
        </w:rPr>
        <w:t>完善农业支持保障力度。</w:t>
      </w:r>
      <w:r>
        <w:rPr>
          <w:rFonts w:hint="eastAsia" w:ascii="仿宋_GB2312"/>
          <w:highlight w:val="none"/>
        </w:rPr>
        <w:t>建立健全城乡统一的要素市场，推动人、地、钱等要素更多向乡村流动，增强农业农村发展活力。加快推进乡村人才振兴，建立城乡人才合作交流机制。探索推进农村集体经营性建设用地入市，大规模开展土地整治，推进中低产田改造，建设高标准农田，推进城乡低效闲置土地资源高效利用，加大批而未供和闲置土地处置力度，运用市场化机制盘活存量土地和低效用地。健全财政支农机制，加大政府投资、政府债券对农业绿色生产、农村人居环境、城乡基础设施等重点领域和薄弱环节支持力度。稳步推进工商资本下乡，完善乡村金融服务体系，促进科技成果入乡转化。</w:t>
      </w:r>
    </w:p>
    <w:p>
      <w:pPr>
        <w:pStyle w:val="3"/>
        <w:rPr>
          <w:highlight w:val="none"/>
        </w:rPr>
      </w:pPr>
      <w:bookmarkStart w:id="62" w:name="_Toc91488186"/>
      <w:r>
        <w:rPr>
          <w:rFonts w:hint="eastAsia"/>
          <w:highlight w:val="none"/>
        </w:rPr>
        <w:t>第六节 促进城乡居民共同富裕</w:t>
      </w:r>
      <w:bookmarkEnd w:id="61"/>
      <w:bookmarkEnd w:id="62"/>
    </w:p>
    <w:p>
      <w:pPr>
        <w:ind w:firstLine="640"/>
        <w:rPr>
          <w:highlight w:val="none"/>
        </w:rPr>
      </w:pPr>
      <w:r>
        <w:rPr>
          <w:rFonts w:hint="eastAsia" w:ascii="仿宋_GB2312" w:hAnsi="Calibri" w:cs="Times New Roman"/>
          <w:highlight w:val="none"/>
        </w:rPr>
        <w:t>稳定农民家庭经营性收入，着力增加农民工资性收入，不断提高农民转移性收入，千方百计拓展农民增收渠道和空间，推动农民更加充分更高质量就业，实现巩固拓展脱贫攻坚成果同乡村振兴有效衔接，促进城乡居民共同富裕。</w:t>
      </w:r>
    </w:p>
    <w:p>
      <w:pPr>
        <w:ind w:firstLine="640"/>
        <w:rPr>
          <w:rFonts w:ascii="仿宋_GB2312"/>
          <w:highlight w:val="none"/>
        </w:rPr>
      </w:pPr>
      <w:r>
        <w:rPr>
          <w:rFonts w:hint="eastAsia" w:ascii="楷体_GB2312" w:eastAsia="楷体_GB2312"/>
          <w:highlight w:val="none"/>
        </w:rPr>
        <w:t>健全要素增收机制。</w:t>
      </w:r>
      <w:r>
        <w:rPr>
          <w:rFonts w:hint="eastAsia" w:ascii="仿宋_GB2312"/>
          <w:highlight w:val="none"/>
        </w:rPr>
        <w:t>健全农民经营性收入增长机制，深入实施家庭农场能力提升行动整县试点、农民合作社质量提升整县推进试点，推动农业生产社会化服务组织专业化、多元化发展，提升社会化服务市场化、信息化水平，构建支持农业全产业链发展的服务体系。完善按要素分配政策制度，规范土地流转促进规模经营，推进农村产权交易管理中心建设，完善市、县、乡、村四级交易服务网络。建立农产品优质优价正向激励机制，提高农产品品质和附加值，培植农产品进出口企业国际自主品牌，提升农业产业外向度。发挥出口农产品质量安全示范市优势，鼓励区市和企业申报省级农产品出口产业集聚区和省农产品出口示范企业。</w:t>
      </w:r>
    </w:p>
    <w:p>
      <w:pPr>
        <w:ind w:firstLine="640"/>
        <w:rPr>
          <w:rFonts w:ascii="仿宋_GB2312"/>
          <w:highlight w:val="none"/>
        </w:rPr>
      </w:pPr>
      <w:r>
        <w:rPr>
          <w:rFonts w:hint="eastAsia" w:ascii="楷体_GB2312" w:eastAsia="楷体_GB2312"/>
          <w:highlight w:val="none"/>
        </w:rPr>
        <w:t>创新农民增收方式。</w:t>
      </w:r>
      <w:r>
        <w:rPr>
          <w:rFonts w:hint="eastAsia" w:ascii="仿宋_GB2312"/>
          <w:highlight w:val="none"/>
        </w:rPr>
        <w:t>壮大新型农业经营主体，培育发展家庭农场、合作社、龙头企业、社会化服务组织和农业产业化联合体，推进龙头企业、农民合作社和家庭农场等新型农业经营主体的分工协作。推广栖霞党支部领办合作社模式，带动农民共同致富。促进小农户和现代农业发展有机衔接，鼓励发展多种形式的适度规模经营，提升小农户与大市场的有机衔接能力。发展多种形式的联合与合作，提升小农户组织程度，建立契约型、股份型利益联结机制，保护小农户合法利益。健全“企业+农民合作社+农户”“企业+专业大户”“企业+家庭农场”等农业产业链融资服务模式，依托产业链中的龙头企业加大对上下游经营组织的金融支持。</w:t>
      </w:r>
    </w:p>
    <w:p>
      <w:pPr>
        <w:ind w:firstLine="640"/>
        <w:rPr>
          <w:rFonts w:ascii="仿宋_GB2312"/>
          <w:highlight w:val="none"/>
        </w:rPr>
      </w:pPr>
      <w:r>
        <w:rPr>
          <w:rFonts w:hint="eastAsia" w:ascii="楷体_GB2312" w:eastAsia="楷体_GB2312"/>
          <w:highlight w:val="none"/>
        </w:rPr>
        <w:t>强化乡村就业创业服务。</w:t>
      </w:r>
      <w:r>
        <w:rPr>
          <w:rFonts w:hint="eastAsia" w:ascii="仿宋_GB2312"/>
          <w:highlight w:val="none"/>
        </w:rPr>
        <w:t>健全县级人力资源市场功能，面向城乡劳动者提供就业失业登记等“一站式”服务。推进农村劳动力定向定岗培训、跨区域精准对接，吸引返乡入乡人员创业创新，带动农民就地就近就业。选择一批知名农业企业、合作社和物流园区等作为基地，为农民创业就业提供必要的见习、实习和实训服务，提高创业就业能力。重点扶持一批吸纳就业能力强的产业和企业，高水平建设农村就业基地，积极支持农民就地就近转移就业。实现巩固拓展脱贫攻坚成果同乡村振兴有效衔接，建立完善农村低收入人口和欠发达地区帮扶机制，在镇村开发设置家政服务等公益专岗，开展菜单式岗前技术技能培训。</w:t>
      </w:r>
    </w:p>
    <w:p>
      <w:pPr>
        <w:ind w:firstLine="640"/>
        <w:rPr>
          <w:rFonts w:ascii="仿宋_GB2312"/>
          <w:highlight w:val="none"/>
        </w:rPr>
      </w:pPr>
      <w:r>
        <w:rPr>
          <w:rFonts w:hint="eastAsia" w:ascii="楷体_GB2312" w:eastAsia="楷体_GB2312"/>
          <w:highlight w:val="none"/>
        </w:rPr>
        <w:t>促进乡村消费升级。</w:t>
      </w:r>
      <w:r>
        <w:rPr>
          <w:rFonts w:hint="eastAsia" w:ascii="仿宋_GB2312"/>
          <w:highlight w:val="none"/>
        </w:rPr>
        <w:t>强化商业“圈、街、店、节、网”功能，加快推进县域商业体系建设，优化城乡商业网点布局，大力发展县域消费聚集区。健全城市和农村配送网络，开展电子商务进农村综合示范，培育一批各具特色、经验可复制推广的示范县。推动乡村能源转型变革，推广屋顶分布式光伏开发试点。加大财政补贴、金融信贷对农村居民消费领域的支持力度，完善家电和汽车以旧换新等扶持政策，开展新能源汽车下乡和废旧家电回收利用试点。全面实施农产品仓储保鲜冷链物流设施建设工程，推进田头小型仓储保鲜冷链设施、产地低温直销配送中心、骨干冷链物流基地建设。</w:t>
      </w:r>
    </w:p>
    <w:p>
      <w:pPr>
        <w:ind w:firstLine="640"/>
        <w:rPr>
          <w:rFonts w:ascii="仿宋_GB2312"/>
          <w:highlight w:val="none"/>
        </w:rPr>
      </w:pPr>
      <w:r>
        <w:rPr>
          <w:rFonts w:hint="eastAsia" w:ascii="楷体_GB2312" w:eastAsia="楷体_GB2312"/>
          <w:highlight w:val="none"/>
        </w:rPr>
        <w:t>打造城乡共同富裕圈。</w:t>
      </w:r>
      <w:r>
        <w:rPr>
          <w:rFonts w:hint="eastAsia" w:ascii="仿宋_GB2312"/>
          <w:highlight w:val="none"/>
        </w:rPr>
        <w:t>打通城乡要素市场化配置体制机制障碍，探索共同富裕先行示范。促进产村融合，推动更多低收入人群迈入中等收入群体行列，着力扩大中等收入群体规模，加强对高收入的规范和调节。推动人的全生命周期公共服务优质共享，迭代升级为民办实事长效机制。促进人民精神生活共同富裕，促进人的全面发展，打造精神文明高地。实现“经济高质量发展、城乡区域协调发展、收入分配格局优化、公共服务优质共享、精神文明建设、全域美丽建设、社会和谐和睦”同步提升。大力建设共同富裕现代化基本单元，推进未来社区建设，打造多功能、复合型、亲民化社区精致生活场景。开展未来乡村建设试点，建成一批彰显胶东特色的示范性乡村新社区。</w:t>
      </w:r>
      <w:bookmarkStart w:id="63" w:name="_Toc85464064"/>
    </w:p>
    <w:p>
      <w:pPr>
        <w:ind w:firstLine="640"/>
        <w:rPr>
          <w:rFonts w:ascii="仿宋_GB2312"/>
          <w:highlight w:val="none"/>
        </w:rPr>
      </w:pPr>
    </w:p>
    <w:p>
      <w:pPr>
        <w:widowControl/>
        <w:spacing w:line="240" w:lineRule="auto"/>
        <w:ind w:firstLine="0" w:firstLineChars="0"/>
        <w:jc w:val="left"/>
        <w:rPr>
          <w:rFonts w:ascii="方正小标宋简体" w:hAnsi="Calibri" w:eastAsia="方正小标宋简体" w:cs="Times New Roman"/>
          <w:bCs/>
          <w:kern w:val="44"/>
          <w:szCs w:val="44"/>
          <w:highlight w:val="none"/>
        </w:rPr>
      </w:pPr>
      <w:bookmarkStart w:id="64" w:name="_Toc88552463"/>
      <w:r>
        <w:rPr>
          <w:highlight w:val="none"/>
        </w:rPr>
        <w:br w:type="page"/>
      </w:r>
    </w:p>
    <w:p>
      <w:pPr>
        <w:pStyle w:val="2"/>
        <w:rPr>
          <w:highlight w:val="none"/>
        </w:rPr>
      </w:pPr>
      <w:bookmarkStart w:id="65" w:name="_Toc91488187"/>
      <w:r>
        <w:rPr>
          <w:rFonts w:hint="eastAsia"/>
          <w:highlight w:val="none"/>
        </w:rPr>
        <w:t xml:space="preserve">第五章 推进创新城镇化 </w:t>
      </w:r>
      <w:bookmarkEnd w:id="63"/>
      <w:bookmarkEnd w:id="64"/>
      <w:r>
        <w:rPr>
          <w:rFonts w:hint="eastAsia"/>
          <w:highlight w:val="none"/>
        </w:rPr>
        <w:t>高效能推进产业与治理现代化</w:t>
      </w:r>
      <w:bookmarkEnd w:id="65"/>
    </w:p>
    <w:p>
      <w:pPr>
        <w:ind w:firstLine="640"/>
        <w:rPr>
          <w:rFonts w:ascii="仿宋_GB2312" w:hAnsi="Calibri" w:cs="Times New Roman"/>
          <w:highlight w:val="none"/>
        </w:rPr>
      </w:pPr>
    </w:p>
    <w:p>
      <w:pPr>
        <w:keepNext/>
        <w:keepLines/>
        <w:ind w:firstLine="640"/>
        <w:jc w:val="distribute"/>
        <w:rPr>
          <w:rFonts w:ascii="仿宋_GB2312" w:hAnsi="Calibri" w:cs="Times New Roman"/>
          <w:highlight w:val="none"/>
        </w:rPr>
      </w:pPr>
      <w:bookmarkStart w:id="66" w:name="_Toc88552446"/>
      <w:r>
        <w:rPr>
          <w:rFonts w:hint="eastAsia" w:ascii="仿宋_GB2312" w:hAnsi="Calibri" w:cs="Times New Roman"/>
          <w:highlight w:val="none"/>
        </w:rPr>
        <w:t>以创新引领经济高质量发展，打造科技创新活力强市，提升经济质量效益和核心竞争力，坚持数字赋能高质量发展，遵循“整体智治”理念，加强和创新社会治理，充分运用新一代信息技术，高效能推动城市治理体系和治理能力现代化。</w:t>
      </w:r>
    </w:p>
    <w:bookmarkEnd w:id="66"/>
    <w:p>
      <w:pPr>
        <w:pStyle w:val="3"/>
        <w:rPr>
          <w:highlight w:val="none"/>
        </w:rPr>
      </w:pPr>
      <w:bookmarkStart w:id="67" w:name="_Toc88552453"/>
      <w:bookmarkStart w:id="68" w:name="_Toc91488188"/>
      <w:r>
        <w:rPr>
          <w:rFonts w:hint="eastAsia"/>
          <w:highlight w:val="none"/>
        </w:rPr>
        <w:t>第一节 强化科技创新</w:t>
      </w:r>
      <w:bookmarkEnd w:id="67"/>
      <w:r>
        <w:rPr>
          <w:rFonts w:hint="eastAsia"/>
          <w:highlight w:val="none"/>
        </w:rPr>
        <w:t>驱动引领</w:t>
      </w:r>
      <w:bookmarkEnd w:id="68"/>
    </w:p>
    <w:p>
      <w:pPr>
        <w:ind w:firstLine="640"/>
        <w:rPr>
          <w:highlight w:val="none"/>
        </w:rPr>
      </w:pPr>
      <w:r>
        <w:rPr>
          <w:rFonts w:hint="eastAsia" w:ascii="仿宋_GB2312" w:hAnsi="Calibri" w:cs="Times New Roman"/>
          <w:highlight w:val="none"/>
        </w:rPr>
        <w:t>不断完善区域创新体系和全域创新布局，推进创新载体和创新平台建设，发挥企业创新主体作用，优化创新生态系统，建设科技创新强市，以科技引领经济高质量发展。</w:t>
      </w:r>
    </w:p>
    <w:p>
      <w:pPr>
        <w:ind w:firstLine="640"/>
        <w:rPr>
          <w:rFonts w:ascii="仿宋_GB2312"/>
          <w:highlight w:val="none"/>
        </w:rPr>
      </w:pPr>
      <w:r>
        <w:rPr>
          <w:rFonts w:hint="eastAsia" w:ascii="楷体_GB2312" w:eastAsia="楷体_GB2312"/>
          <w:highlight w:val="none"/>
        </w:rPr>
        <w:t>强化全域科技创新布局。</w:t>
      </w:r>
      <w:r>
        <w:rPr>
          <w:rFonts w:hint="eastAsia" w:ascii="仿宋_GB2312" w:hAnsi="Calibri" w:cs="Times New Roman"/>
          <w:highlight w:val="none"/>
        </w:rPr>
        <w:t>积极加入以青岛为科技创新策源地，以烟台、威海、潍坊、日照为支点的创新共同体，加快打造一批具有影响力的区域科技创新中心。集聚重大科技创新平台和重大科技基础设施，推动形成“一城统揽、双核引领、两翼齐飞、多极崛起”的创新发展布局。打造八角湾中央创新区、环磁山国际科研走廊、环东岛国际科教走廊等国内外有影响力的“创新地标”。积极参与创建国家实验室，力争两个省实验室落户烟台。支持先进材料与绿色制造山东省实验室、环渤海药物高等研究院等重点科技创新平台做大做强。全力参与国家海洋实验室建设，积极打造海上卫星发射平台等重大科技基础设施。</w:t>
      </w:r>
    </w:p>
    <w:p>
      <w:pPr>
        <w:ind w:firstLine="640"/>
        <w:rPr>
          <w:rFonts w:ascii="仿宋_GB2312"/>
          <w:highlight w:val="none"/>
        </w:rPr>
      </w:pPr>
      <w:r>
        <w:rPr>
          <w:rFonts w:hint="eastAsia" w:ascii="楷体_GB2312" w:eastAsia="楷体_GB2312"/>
          <w:highlight w:val="none"/>
        </w:rPr>
        <w:t>突出企业技术创新主体地位。</w:t>
      </w:r>
      <w:r>
        <w:rPr>
          <w:rFonts w:hint="eastAsia" w:ascii="仿宋_GB2312" w:hAnsi="Calibri" w:cs="Times New Roman"/>
          <w:highlight w:val="none"/>
        </w:rPr>
        <w:t>支持科技创新企业做大做强，构建“科技型中小企业—高新技术企业—创新型领军企业”的培养链条。推进山东省微纳传感技术与智能应用制造业、山东省特种机器人集成应用技术制造业等创新中心建设。推动烟台省级制造业创新中心联合国内、省内产业链上下游龙头骨干企业，共同争创国家级制造业创新中心。完善“众创空间—孵化器—加速器—科技园区”创新孵化链条，引导龙头企业、高校、科研院所等多元主体建设大学科技园、科技企业孵化器、校地合作示范基地。加快建设上海复旦离岸孵化基地、深圳清华研究院离岸创新中心等离岸孵化基地。</w:t>
      </w:r>
    </w:p>
    <w:p>
      <w:pPr>
        <w:ind w:firstLine="640"/>
        <w:rPr>
          <w:rFonts w:ascii="仿宋_GB2312"/>
          <w:szCs w:val="32"/>
          <w:highlight w:val="none"/>
        </w:rPr>
      </w:pPr>
      <w:r>
        <w:rPr>
          <w:rFonts w:hint="eastAsia" w:ascii="楷体_GB2312" w:eastAsia="楷体_GB2312"/>
          <w:highlight w:val="none"/>
        </w:rPr>
        <w:t>推进创新人才支撑。</w:t>
      </w:r>
      <w:r>
        <w:rPr>
          <w:rFonts w:hint="eastAsia" w:ascii="仿宋_GB2312" w:hAnsi="Calibri" w:cs="Times New Roman"/>
          <w:highlight w:val="none"/>
        </w:rPr>
        <w:t>着力培育产业发展急需的应用型、复合型人才和面向基础、前沿科技研发的研究型人才。推动烟台经济技术开发区产才融合发展示范园区建设，加快实施“产才融合发展十个一行动”。深入推进院所校区、城市社区、产业园区“三区”联动，提高校地融合发展水平。建立和完善新型学徒制和首席技师制度，培养创新型、应用型、技能型人才。引进培育创新创业团队和国家级重点人才工程、泰山系列人才工程、齐鲁系列人才工程等高端拔尖人才。实施海外专家短期工作资助计划，推进海外人才离岸创新创业基地、海创人才创业服务中心和八角湾国际人才港建设。深化人才发展体制机制改革，激发人才创新创业活力。</w:t>
      </w:r>
    </w:p>
    <w:p>
      <w:pPr>
        <w:ind w:firstLine="640"/>
        <w:rPr>
          <w:rFonts w:ascii="仿宋_GB2312" w:hAnsi="Calibri" w:cs="Times New Roman"/>
          <w:highlight w:val="none"/>
        </w:rPr>
      </w:pPr>
      <w:r>
        <w:rPr>
          <w:rFonts w:hint="eastAsia" w:ascii="楷体_GB2312" w:eastAsia="楷体_GB2312"/>
          <w:highlight w:val="none"/>
        </w:rPr>
        <w:t>优化创新生态系统。</w:t>
      </w:r>
      <w:r>
        <w:rPr>
          <w:rFonts w:hint="eastAsia" w:ascii="仿宋_GB2312" w:hAnsi="Calibri" w:cs="Times New Roman"/>
          <w:highlight w:val="none"/>
        </w:rPr>
        <w:t>强化政府科技服务职能，增强科技规划对科技任务布局和资源配置的引领作用。强化科技和资本联动保障，加大金融市场和金融工具对科技创新的支持力度。加大科技信贷支持力度，扩大科技信贷风险资金池规模。构建和完善知识产权快速协同保护机制，加大知识产权保护力度。畅通科技成果转移转化机制，构建基础研究、应用开发、中试熟化、转化服务、市场应用的全链条科技成果转移转化体系。完善科技成果转移转化服务体系，创新科技成果转化金融服务模式，培育机制灵活、服务专业的科技成果转移转化服务机构。</w:t>
      </w:r>
    </w:p>
    <w:p>
      <w:pPr>
        <w:pStyle w:val="3"/>
        <w:rPr>
          <w:highlight w:val="none"/>
        </w:rPr>
      </w:pPr>
      <w:bookmarkStart w:id="69" w:name="_Toc91488189"/>
      <w:r>
        <w:rPr>
          <w:rFonts w:hint="eastAsia"/>
          <w:highlight w:val="none"/>
        </w:rPr>
        <w:t>第二节 构建高质量发展产业体系</w:t>
      </w:r>
      <w:bookmarkEnd w:id="69"/>
    </w:p>
    <w:p>
      <w:pPr>
        <w:ind w:firstLine="640"/>
        <w:rPr>
          <w:highlight w:val="none"/>
        </w:rPr>
      </w:pPr>
      <w:r>
        <w:rPr>
          <w:rFonts w:hint="eastAsia" w:ascii="仿宋_GB2312" w:hAnsi="Calibri" w:cs="Times New Roman"/>
          <w:highlight w:val="none"/>
        </w:rPr>
        <w:t>实施新一轮全方位高水平对外开放战略，</w:t>
      </w:r>
      <w:r>
        <w:rPr>
          <w:rFonts w:hint="eastAsia"/>
          <w:highlight w:val="none"/>
        </w:rPr>
        <w:t>推动区域协调发展，</w:t>
      </w:r>
      <w:r>
        <w:rPr>
          <w:rFonts w:hint="eastAsia" w:ascii="仿宋_GB2312" w:hAnsi="Calibri" w:cs="Times New Roman"/>
          <w:highlight w:val="none"/>
        </w:rPr>
        <w:t>聚力发展实体经济，提升现代海洋产业发展能级，推进制造业优势产业集群化发展，推动新兴产业集约化发展，突破发展现代服务业，构建高质量发展的现代化产业体系。</w:t>
      </w:r>
    </w:p>
    <w:p>
      <w:pPr>
        <w:ind w:firstLine="640"/>
        <w:rPr>
          <w:rFonts w:ascii="仿宋_GB2312"/>
          <w:highlight w:val="none"/>
        </w:rPr>
      </w:pPr>
      <w:r>
        <w:rPr>
          <w:rFonts w:hint="eastAsia" w:ascii="楷体_GB2312" w:eastAsia="楷体_GB2312"/>
          <w:highlight w:val="none"/>
        </w:rPr>
        <w:t>建设对外开放新高地。</w:t>
      </w:r>
      <w:r>
        <w:rPr>
          <w:rFonts w:hint="eastAsia" w:ascii="仿宋_GB2312"/>
          <w:highlight w:val="none"/>
        </w:rPr>
        <w:t>强化对外合作，全面融入全球创新网络和产业生态，搭建国际化创新合作平台，打造面向日韩和东北亚、连接“一带一路”、连通欧美的重要“桥头堡”。高质量开展“双招双引”，实施精准招商、整体招商，推动招商引资向产业组织转型、政策优惠向环境优化转型、政府主导向政府引导转型。高标准建设国家级境外经贸合作区，推动国际产能合作。统筹推进各类国际特色园区建设。推动山东自贸区烟台片区赋能提升，综合保税区提质升级，中韩（烟台）产业园高质量发展，国际招商产业园高标准建设，中日、中德产业园突破发展。</w:t>
      </w:r>
    </w:p>
    <w:p>
      <w:pPr>
        <w:ind w:firstLine="640"/>
        <w:rPr>
          <w:rFonts w:ascii="仿宋_GB2312"/>
          <w:highlight w:val="none"/>
        </w:rPr>
      </w:pPr>
      <w:r>
        <w:rPr>
          <w:rFonts w:hint="eastAsia" w:ascii="楷体_GB2312" w:eastAsia="楷体_GB2312"/>
          <w:highlight w:val="none"/>
        </w:rPr>
        <w:t>构建区域产业发展共同体。</w:t>
      </w:r>
      <w:r>
        <w:rPr>
          <w:rFonts w:hint="eastAsia" w:ascii="仿宋_GB2312"/>
          <w:highlight w:val="none"/>
        </w:rPr>
        <w:t>深度融入国家区域协调发展战略，积极融入胶东经济圈一体化发展格局，加强区域协作，形成跨区域产业体系，强化整体竞争力，助力胶东经济圈成为国际海洋创新中心、中国经济新增长极、黄河流域开放门户。烟台将立足胶东经济圈以青岛为龙头、湾区经济为带动、临港经济为支撑的产业功能布局，培育高端装备、新能源新材料、现代海洋产业、新一带信息技术、高端服务、医养健康等优势产业，加快万华、中集来福士、裕龙岛炼化一体化等工业互联网平台赋能，打造胶东一体化产业生态网络。</w:t>
      </w:r>
    </w:p>
    <w:p>
      <w:pPr>
        <w:ind w:firstLine="640"/>
        <w:rPr>
          <w:rFonts w:ascii="仿宋_GB2312"/>
          <w:highlight w:val="none"/>
        </w:rPr>
      </w:pPr>
      <w:bookmarkStart w:id="70" w:name="_Toc88552447"/>
      <w:r>
        <w:rPr>
          <w:rFonts w:hint="eastAsia" w:ascii="仿宋_GB2312"/>
          <w:highlight w:val="none"/>
        </w:rPr>
        <w:t>提升现代海洋产业发展能级</w:t>
      </w:r>
      <w:bookmarkEnd w:id="70"/>
      <w:r>
        <w:rPr>
          <w:rFonts w:hint="eastAsia" w:ascii="仿宋_GB2312"/>
          <w:highlight w:val="none"/>
        </w:rPr>
        <w:t>。建设国际海洋经济合作示范区，实施海洋潜力产业突破工程。突破发展海工装备制造业，打造海工装备基地。突破发展海洋药物和生物制品业，打造国内一流海洋生物产业示范基地。加快构筑海洋高能级创新载体。加快建设海工装备研发平台，抓好北方风电母港、“梦想号”等重大平台建设。积极搭建海洋生物研发平台，打造国内一流的海洋生物产业基地。发挥沿海港口物流优势，打造国内一流的临港化工产业基地。搭建海水淡化科技创新平台，建设山东乃至全国最大规模的海水淡化全产业链的综合利用基地。以八角湾海洋经济创新区为载体，引入种业研究院等合作平台，搭建蓝色种业创新平台。</w:t>
      </w:r>
    </w:p>
    <w:p>
      <w:pPr>
        <w:ind w:firstLine="640"/>
        <w:rPr>
          <w:rFonts w:ascii="仿宋_GB2312"/>
          <w:highlight w:val="none"/>
        </w:rPr>
      </w:pPr>
      <w:r>
        <w:rPr>
          <w:rFonts w:hint="eastAsia" w:ascii="楷体_GB2312" w:eastAsia="楷体_GB2312"/>
          <w:highlight w:val="none"/>
        </w:rPr>
        <w:t>制造业优势产业集群化发展。</w:t>
      </w:r>
      <w:r>
        <w:rPr>
          <w:rFonts w:hint="eastAsia" w:ascii="仿宋_GB2312" w:hAnsi="Calibri" w:cs="Times New Roman"/>
          <w:highlight w:val="none"/>
        </w:rPr>
        <w:t>聚焦优势产业，打造产业集群。围绕国家级、省级战略性新兴产业集群，调整优化产业布局，推动园区提档升级，完善功能设施配套，促进要素合理配置、资源集约利用，积极培育一批产业竞争力强、带动作用突出的龙头企业，以万华、裕龙、山东黄金、中集来福士、杰瑞、睿创微纳、海阳核电等一批骨干企业为依托，打造石化、高端装备制造业、电子产业制造、新能源开发和节能环保等优势产业集群。提升产业链供应链竞争力。做好建链、补链、延链、强链文章，推动经济持续和高质量发展。大力发展新技术、新产业、新业态、新模式，进一步提升产业集群的发展驱动力和核心竞争力。</w:t>
      </w:r>
    </w:p>
    <w:p>
      <w:pPr>
        <w:ind w:firstLine="640"/>
        <w:rPr>
          <w:rFonts w:ascii="仿宋_GB2312"/>
          <w:highlight w:val="none"/>
        </w:rPr>
      </w:pPr>
      <w:r>
        <w:rPr>
          <w:rFonts w:hint="eastAsia" w:ascii="楷体_GB2312" w:eastAsia="楷体_GB2312"/>
          <w:highlight w:val="none"/>
        </w:rPr>
        <w:t>新兴产业集约化发展。</w:t>
      </w:r>
      <w:r>
        <w:rPr>
          <w:rFonts w:hint="eastAsia" w:ascii="仿宋_GB2312" w:hAnsi="Calibri" w:cs="Times New Roman"/>
          <w:highlight w:val="none"/>
        </w:rPr>
        <w:t>布局谋划卫星技术应用、超高清视频显示、数字创意、人工智能、绿色环保等前沿技术领域，加大科技攻关和业态培育，引导平台经济、共享经济、创意经济加快发展，以增量带存量、以优化促转化，推动新兴产业快速聚集成势。推动数字创意在装备制造、教育培训、文化旅游等领域的示范应用，打造数字创意产业发展高地。加强环境污染防治先进环保技术推广应用和集成创新，重点发展工业固体废弃物综合利用、智慧环保装备等产业。前瞻布局生命科学、生物安全技术、无人驾驶等潜力产业，抢占发展制高点，推进未来产业突破发展。</w:t>
      </w:r>
    </w:p>
    <w:p>
      <w:pPr>
        <w:ind w:firstLine="640"/>
        <w:rPr>
          <w:rFonts w:ascii="仿宋_GB2312"/>
          <w:highlight w:val="none"/>
        </w:rPr>
      </w:pPr>
      <w:r>
        <w:rPr>
          <w:rFonts w:hint="eastAsia" w:ascii="楷体_GB2312" w:eastAsia="楷体_GB2312"/>
          <w:highlight w:val="none"/>
        </w:rPr>
        <w:t>突破发展现代服务业。</w:t>
      </w:r>
      <w:r>
        <w:rPr>
          <w:rFonts w:hint="eastAsia" w:ascii="仿宋_GB2312" w:hAnsi="Calibri" w:cs="Times New Roman"/>
          <w:highlight w:val="none"/>
        </w:rPr>
        <w:t>推动生产性服务业突破发展。壮大市场服务主体，提升综合服务能力，生产性服务业与先进制造业深度融合。推动生活性服务业向高品质和多样化升级。培育生活性服务业新增长点，推动生活性服务业提档升级，向便利化和品质化方向发展。推动公共服务业向普惠性和均等化转变。进一步提高公共服务业供给质量和水平，加大教育、医疗、养老等设施的投入。贯彻房地产市场宏观调控政策，以改善人居环境和提高城市品位为目标，保持房地产业持续平稳健康发展。完善住房保障体系，增加保障性租赁住房和共有产权住房供给。</w:t>
      </w:r>
    </w:p>
    <w:p>
      <w:pPr>
        <w:pStyle w:val="3"/>
        <w:rPr>
          <w:highlight w:val="none"/>
        </w:rPr>
      </w:pPr>
      <w:bookmarkStart w:id="71" w:name="_Toc91488190"/>
      <w:bookmarkStart w:id="72" w:name="_Toc88552448"/>
      <w:r>
        <w:rPr>
          <w:rFonts w:hint="eastAsia"/>
          <w:highlight w:val="none"/>
        </w:rPr>
        <w:t>第三节 优化全域高效产业空间</w:t>
      </w:r>
      <w:bookmarkEnd w:id="71"/>
      <w:bookmarkEnd w:id="72"/>
      <w:bookmarkStart w:id="73" w:name="_Hlk85891230"/>
    </w:p>
    <w:p>
      <w:pPr>
        <w:ind w:firstLine="640"/>
        <w:rPr>
          <w:highlight w:val="none"/>
        </w:rPr>
      </w:pPr>
      <w:r>
        <w:rPr>
          <w:rFonts w:hint="eastAsia" w:ascii="仿宋_GB2312" w:hAnsi="Calibri" w:cs="Times New Roman"/>
          <w:highlight w:val="none"/>
        </w:rPr>
        <w:t>统筹市域产业发展基础，优化城市产业结构，合理布局产业功能区，明确县市特色产业发展重点，</w:t>
      </w:r>
      <w:r>
        <w:rPr>
          <w:rFonts w:hint="eastAsia" w:ascii="仿宋_GB2312" w:hAnsi="Calibri" w:cs="Times New Roman"/>
          <w:szCs w:val="32"/>
          <w:highlight w:val="none"/>
        </w:rPr>
        <w:t>推进港产城融合发展</w:t>
      </w:r>
      <w:r>
        <w:rPr>
          <w:rFonts w:hint="eastAsia" w:ascii="仿宋_GB2312" w:hAnsi="Calibri" w:cs="Times New Roman"/>
          <w:highlight w:val="none"/>
        </w:rPr>
        <w:t>，优化全域高效产业空间。</w:t>
      </w:r>
    </w:p>
    <w:p>
      <w:pPr>
        <w:ind w:firstLine="640"/>
        <w:rPr>
          <w:rFonts w:ascii="仿宋_GB2312" w:hAnsiTheme="majorHAnsi" w:cstheme="majorBidi"/>
          <w:highlight w:val="none"/>
        </w:rPr>
      </w:pPr>
      <w:r>
        <w:rPr>
          <w:rFonts w:hint="eastAsia" w:ascii="楷体_GB2312" w:eastAsia="楷体_GB2312"/>
          <w:highlight w:val="none"/>
        </w:rPr>
        <w:t>优化城市产业结构</w:t>
      </w:r>
      <w:bookmarkEnd w:id="73"/>
      <w:r>
        <w:rPr>
          <w:rFonts w:hint="eastAsia" w:ascii="楷体_GB2312" w:eastAsia="楷体_GB2312"/>
          <w:highlight w:val="none"/>
        </w:rPr>
        <w:t>。</w:t>
      </w:r>
      <w:r>
        <w:rPr>
          <w:rFonts w:hint="eastAsia" w:ascii="仿宋_GB2312" w:hAnsi="Calibri" w:cs="Times New Roman"/>
          <w:highlight w:val="none"/>
        </w:rPr>
        <w:t>全面提升第一产业，发展现代农业。加快农业产业转型升级，构建以绿色农业、休闲农业、观光农业、立体农业、订单农业等为基础支撑的现代农业产业体系。高端突破第二产业，发展先进制造业。依托国家级经济开发区和高新园区等产业集聚区，推动产学研融合发展，打造国内领先、具有一定国际知名度的先进制造业基地。培育做优第三产业，发展现代服务业。构建以现代物流、商贸会展等行业的高效生产服务体系，推动生产性服务业向专业化和价值链高端延伸。以推动高质量发展为主题，加强二三产业互联，提升烟台市整体的产业综合竞争力。</w:t>
      </w:r>
    </w:p>
    <w:p>
      <w:pPr>
        <w:ind w:firstLine="640"/>
        <w:rPr>
          <w:rFonts w:ascii="仿宋_GB2312"/>
          <w:highlight w:val="none"/>
        </w:rPr>
      </w:pPr>
      <w:r>
        <w:rPr>
          <w:rFonts w:hint="eastAsia" w:ascii="楷体_GB2312" w:eastAsia="楷体_GB2312"/>
          <w:highlight w:val="none"/>
        </w:rPr>
        <w:t>引导全域产业功能区合理布局。</w:t>
      </w:r>
      <w:r>
        <w:rPr>
          <w:rFonts w:hint="eastAsia" w:ascii="仿宋_GB2312" w:hAnsi="Calibri" w:cs="Times New Roman"/>
          <w:highlight w:val="none"/>
        </w:rPr>
        <w:t>协调全域产业融合发展和错位竞争，强化区域协同，发挥优势互补，形成区域产业集群。创新发展先行区主要在产业聚集、创新创业、人才培育和政策示范等方面先行先试；战略新兴产业集聚区着重做强做大战略新兴产业；自贸试验区主要引入自贸区成功发展经验，推动对外开放进入新阶段；产业升级示范区培育特色优势产业集群；现代服务引领区培育金融、会展和科研等现代生产服务业新业态；历史文化传承创新区主要推动历史文化与旅游、创意、商贸等融合发展；绿色生态先导区主要发挥生态资源优势，发展绿色低碳产业。</w:t>
      </w:r>
    </w:p>
    <w:p>
      <w:pPr>
        <w:ind w:firstLine="640"/>
        <w:rPr>
          <w:rFonts w:ascii="仿宋_GB2312"/>
          <w:szCs w:val="32"/>
          <w:highlight w:val="none"/>
        </w:rPr>
      </w:pPr>
      <w:r>
        <w:rPr>
          <w:rFonts w:hint="eastAsia" w:ascii="楷体_GB2312" w:eastAsia="楷体_GB2312"/>
          <w:highlight w:val="none"/>
        </w:rPr>
        <w:t>明确县市产业发展重点。</w:t>
      </w:r>
      <w:r>
        <w:rPr>
          <w:rFonts w:hint="eastAsia" w:ascii="仿宋_GB2312"/>
          <w:highlight w:val="none"/>
        </w:rPr>
        <w:t>结合六个县市资源禀赋、产业现状和区域位置等因素，</w:t>
      </w:r>
      <w:r>
        <w:rPr>
          <w:rFonts w:hint="eastAsia" w:ascii="仿宋_GB2312" w:hAnsi="Calibri" w:cs="Times New Roman"/>
          <w:highlight w:val="none"/>
        </w:rPr>
        <w:t>发挥龙口、招远、莱州省级县域经济科学发展综合试点市优势，打造北部高质量发展先行示范带。</w:t>
      </w:r>
      <w:r>
        <w:rPr>
          <w:rFonts w:hint="eastAsia" w:ascii="仿宋_GB2312" w:hAnsi="Calibri" w:cs="Times New Roman"/>
          <w:szCs w:val="32"/>
          <w:highlight w:val="none"/>
        </w:rPr>
        <w:t>发挥莱阳、海阳胶东中心节点区位优势，共创南部联动发展崛起突破带。</w:t>
      </w:r>
      <w:bookmarkStart w:id="74" w:name="_Toc88552449"/>
      <w:r>
        <w:rPr>
          <w:rFonts w:hint="eastAsia" w:ascii="仿宋_GB2312" w:hAnsi="Calibri" w:cs="Times New Roman"/>
          <w:szCs w:val="32"/>
          <w:highlight w:val="none"/>
        </w:rPr>
        <w:t>实施“生态+”战略，筑牢绿色发展生态保护带，栖霞市发展绿色农业、生态旅游、环保型先进制造业，昆嵛山保护区创建全国一流的国家级自然保护区。</w:t>
      </w:r>
    </w:p>
    <w:p>
      <w:pPr>
        <w:ind w:firstLine="640"/>
        <w:rPr>
          <w:rFonts w:ascii="仿宋_GB2312" w:hAnsi="Calibri" w:cs="Times New Roman"/>
          <w:szCs w:val="32"/>
          <w:highlight w:val="none"/>
        </w:rPr>
      </w:pPr>
      <w:r>
        <w:rPr>
          <w:rFonts w:hint="eastAsia" w:ascii="楷体_GB2312" w:eastAsia="楷体_GB2312"/>
          <w:highlight w:val="none"/>
        </w:rPr>
        <w:t>推进港产城融合发展</w:t>
      </w:r>
      <w:bookmarkEnd w:id="74"/>
      <w:r>
        <w:rPr>
          <w:rFonts w:hint="eastAsia" w:ascii="楷体_GB2312" w:eastAsia="楷体_GB2312"/>
          <w:highlight w:val="none"/>
        </w:rPr>
        <w:t>。</w:t>
      </w:r>
      <w:r>
        <w:rPr>
          <w:rFonts w:hint="eastAsia" w:ascii="仿宋_GB2312" w:hAnsi="Calibri" w:cs="Times New Roman"/>
          <w:szCs w:val="32"/>
          <w:highlight w:val="none"/>
        </w:rPr>
        <w:t>以港兴产、以港兴城，统筹推进港区空间布局，大力发展临港产业，加大港区周边环境整治力度，推动“港产城一体化”进程。持续提升空港、海港和陆港综合服务能力。统筹塑造空港、海港以及综合保税港区各组团功能，高质量推进临港产业园区建设，提升服务能力。打破行政区域界限，依托空港、海港、铁路、综合保税港区，探索研究设立西港临港产业区、保税港区一体化行政管理体制。推动临港工业与城市产业更深层次融合，拉长传统企业产业链，实现临港产业集群化发展。提升产业带动就业能力。充分发挥创业投资促进“双创”和增加就业的独特作用，对带动就业能力强的创业投资企业予以引导基金扶持、政府项目对接等政策支持。加大创业担保贷款支持力度，支持多渠道灵活就业。</w:t>
      </w:r>
    </w:p>
    <w:p>
      <w:pPr>
        <w:pStyle w:val="3"/>
        <w:rPr>
          <w:highlight w:val="none"/>
        </w:rPr>
      </w:pPr>
      <w:bookmarkStart w:id="75" w:name="_Toc88552454"/>
      <w:bookmarkStart w:id="76" w:name="_Toc91488191"/>
      <w:r>
        <w:rPr>
          <w:rFonts w:hint="eastAsia"/>
          <w:highlight w:val="none"/>
        </w:rPr>
        <w:t>第四节 建设数字泛联智慧</w:t>
      </w:r>
      <w:bookmarkEnd w:id="75"/>
      <w:r>
        <w:rPr>
          <w:rFonts w:hint="eastAsia"/>
          <w:highlight w:val="none"/>
        </w:rPr>
        <w:t>生态</w:t>
      </w:r>
      <w:bookmarkEnd w:id="76"/>
    </w:p>
    <w:p>
      <w:pPr>
        <w:ind w:firstLine="640"/>
        <w:rPr>
          <w:highlight w:val="none"/>
        </w:rPr>
      </w:pPr>
      <w:r>
        <w:rPr>
          <w:rFonts w:hint="eastAsia" w:ascii="仿宋_GB2312" w:hAnsi="Calibri" w:cs="Times New Roman"/>
          <w:highlight w:val="none"/>
        </w:rPr>
        <w:t>推进新型智慧城市建设与城市发展战略深度融合，激活数据要素潜能，更高质量助力经济转型创新发展，更高效率提高城市管理水平，更高水平满足人民对美好生活的向往。</w:t>
      </w:r>
    </w:p>
    <w:p>
      <w:pPr>
        <w:ind w:firstLine="640"/>
        <w:rPr>
          <w:rFonts w:ascii="仿宋_GB2312"/>
          <w:highlight w:val="none"/>
        </w:rPr>
      </w:pPr>
      <w:r>
        <w:rPr>
          <w:rFonts w:hint="eastAsia" w:ascii="楷体_GB2312" w:eastAsia="楷体_GB2312"/>
          <w:highlight w:val="none"/>
        </w:rPr>
        <w:t>前瞻布局新型基础设施。</w:t>
      </w:r>
      <w:r>
        <w:rPr>
          <w:rFonts w:hint="eastAsia" w:ascii="仿宋_GB2312" w:hAnsi="Calibri" w:cs="Times New Roman"/>
          <w:highlight w:val="none"/>
        </w:rPr>
        <w:t>加快新型数字基础设施建设，提升智慧城市支撑能力。集约建设超算中心、数据中心，提升大数据中心存储能力和数据服务能力。优化互联网骨干网络架构，扩容数据通信带宽，积极争取国家、省重大信息基础设施布局，增强区域通信枢纽能力。全面推进5G网络部署与规模组网，推动公共资源向5G基站免费开放，鼓励骨干企业丰富5G场景应用和产品研发。对城市供水、排水、燃气等市政基础设施进行升级改造和智能化管理，加强基于5G的智慧灯杆建设，实现对市政基础设施运行数据的自动采集和全面感知。有序推动充电桩、加气站等交通基础设施建设。</w:t>
      </w:r>
    </w:p>
    <w:p>
      <w:pPr>
        <w:ind w:firstLine="640"/>
        <w:rPr>
          <w:rFonts w:ascii="仿宋_GB2312"/>
          <w:highlight w:val="none"/>
        </w:rPr>
      </w:pPr>
      <w:r>
        <w:rPr>
          <w:rFonts w:hint="eastAsia" w:ascii="楷体_GB2312" w:eastAsia="楷体_GB2312"/>
          <w:highlight w:val="none"/>
        </w:rPr>
        <w:t>培育数字经济新优势。</w:t>
      </w:r>
      <w:r>
        <w:rPr>
          <w:rFonts w:hint="eastAsia" w:ascii="仿宋_GB2312" w:hAnsi="Calibri" w:cs="Times New Roman"/>
          <w:highlight w:val="none"/>
        </w:rPr>
        <w:t>推动数字技术与实体经济深度融合发展，建设全国、全省重要的数字经济引领示范区。加快数字产业化，重点培育电子信息及软件、超高清视频、新一代人工智能、虚拟现实、前沿产业五大数字产业集群。提升产业数字化、网络化、智能化水平，支持企业“上云用数赋智”，推广制造企业生产过程执行管理系统。推动协同制造、智能制造在现代海洋、装备制造、高端化工、医养健康等主导产业的融合应用。大力发展智慧农业和智慧渔业，推进农特产品全产业链数字化转型。推动数字技术在金融、物流、研发设计等领域广泛应用。</w:t>
      </w:r>
    </w:p>
    <w:p>
      <w:pPr>
        <w:ind w:firstLine="640"/>
        <w:rPr>
          <w:highlight w:val="none"/>
        </w:rPr>
      </w:pPr>
      <w:r>
        <w:rPr>
          <w:rFonts w:hint="eastAsia" w:ascii="楷体_GB2312" w:eastAsia="楷体_GB2312"/>
          <w:highlight w:val="none"/>
        </w:rPr>
        <w:t>建设智慧互联数字社会。</w:t>
      </w:r>
      <w:r>
        <w:rPr>
          <w:rFonts w:hint="eastAsia" w:ascii="仿宋_GB2312" w:hAnsi="Calibri" w:cs="Times New Roman"/>
          <w:highlight w:val="none"/>
        </w:rPr>
        <w:t>统筹城市大脑顶层设计和总体架构，建设烟台市“城市大脑”。整合社会综治、应急指挥、生态环境、城市管理、国土空间等部门数据资源，通过设施共用、系统接入、数据共享等途径，组建集运行监测、应急联动、智能决策、指挥调度为一体的智慧城市运行指挥中心。推动公共服务数字化、标准化、智能化，打造交通、教育、医疗等民生领域“智慧+”应用场景。开展智慧社区建设，构建未来邻里、教育、健康、创业等数字化创新应用场景。推进商业网点、文化体育场馆、旅游景点等数字化转型升级，提升生活智慧化服务能力和水平。</w:t>
      </w:r>
    </w:p>
    <w:p>
      <w:pPr>
        <w:pStyle w:val="3"/>
        <w:rPr>
          <w:highlight w:val="none"/>
        </w:rPr>
      </w:pPr>
      <w:bookmarkStart w:id="77" w:name="_Toc85454314"/>
      <w:bookmarkStart w:id="78" w:name="_Toc91488192"/>
      <w:bookmarkStart w:id="79" w:name="_Toc85456196"/>
      <w:bookmarkStart w:id="80" w:name="_Toc88552466"/>
      <w:bookmarkStart w:id="81" w:name="_Toc85454313"/>
      <w:bookmarkStart w:id="82" w:name="_Toc88552465"/>
      <w:bookmarkStart w:id="83" w:name="_Toc85456195"/>
      <w:r>
        <w:rPr>
          <w:rFonts w:hint="eastAsia"/>
          <w:highlight w:val="none"/>
        </w:rPr>
        <w:t>第五节 打造整体智治数字政府</w:t>
      </w:r>
      <w:bookmarkEnd w:id="77"/>
      <w:bookmarkEnd w:id="78"/>
      <w:bookmarkEnd w:id="79"/>
      <w:bookmarkEnd w:id="80"/>
    </w:p>
    <w:p>
      <w:pPr>
        <w:ind w:firstLine="640"/>
        <w:rPr>
          <w:highlight w:val="none"/>
        </w:rPr>
      </w:pPr>
      <w:r>
        <w:rPr>
          <w:rFonts w:hint="eastAsia" w:ascii="仿宋_GB2312" w:hAnsi="Calibri" w:cs="Times New Roman"/>
          <w:highlight w:val="none"/>
        </w:rPr>
        <w:t>全面推动政府数字化转型，优化政务服务水平，打造整体智治的高效政府，助力政府治理能力现代化水平提升。</w:t>
      </w:r>
    </w:p>
    <w:p>
      <w:pPr>
        <w:ind w:firstLine="640"/>
        <w:rPr>
          <w:rFonts w:ascii="仿宋_GB2312"/>
          <w:highlight w:val="none"/>
        </w:rPr>
      </w:pPr>
      <w:r>
        <w:rPr>
          <w:rFonts w:hint="eastAsia" w:ascii="楷体_GB2312" w:eastAsia="楷体_GB2312"/>
          <w:highlight w:val="none"/>
        </w:rPr>
        <w:t>全面推动政府数字化转型。</w:t>
      </w:r>
      <w:r>
        <w:rPr>
          <w:rFonts w:hint="eastAsia" w:ascii="仿宋_GB2312" w:hAnsi="Calibri" w:cs="Times New Roman"/>
          <w:highlight w:val="none"/>
        </w:rPr>
        <w:t>完善集约化政务云平台，优化政务云服务体系，强化电子政务网络安全体系。规范统一政务网络架构，进一步完善电子政务外网，按照“纵向到底，横向到边”的要求，加快推进各级、各部门接入。推进数字法治系统建设，深入大数据在政府立法、行政执法监督、刑事执行与应急指挥、公共法律服务、综合保障与政务管理、全面依法治市决策支持等业务中的应用。完善全市统一的公共数据开放平台，重点推动民生保障、经济发展等相关领域的数据向社会开放，提高公共数据社会化利用水平。完善“互联网＋监管”体系。</w:t>
      </w:r>
    </w:p>
    <w:p>
      <w:pPr>
        <w:ind w:firstLine="640"/>
        <w:rPr>
          <w:rFonts w:ascii="仿宋_GB2312"/>
          <w:highlight w:val="none"/>
        </w:rPr>
      </w:pPr>
      <w:r>
        <w:rPr>
          <w:rFonts w:hint="eastAsia" w:ascii="楷体_GB2312" w:eastAsia="楷体_GB2312"/>
          <w:highlight w:val="none"/>
        </w:rPr>
        <w:t>提升政务服务数字化水平。</w:t>
      </w:r>
      <w:r>
        <w:rPr>
          <w:rFonts w:hint="eastAsia" w:ascii="仿宋_GB2312" w:hAnsi="Calibri" w:cs="Times New Roman"/>
          <w:highlight w:val="none"/>
        </w:rPr>
        <w:t>优化“互联网+政务服务”，提升政务服务和业务协同能力，推进一体化在线政务服务平台建设，实现审批流程更简、政务服务更优、监管能力更强。持续推进流程再造和“一次办好”改革，按照政务服务标准化要求，推动服务事项网上受理，完善一体化政务服务平台。深化电子证照应用，加大电子证照数据归集和省印章系统对接工作，加快证照类型归集和数据汇聚，实现网上签章，高标准建成“掌上办事之市”。</w:t>
      </w:r>
    </w:p>
    <w:p>
      <w:pPr>
        <w:ind w:firstLine="640"/>
        <w:rPr>
          <w:rFonts w:ascii="仿宋_GB2312"/>
          <w:highlight w:val="none"/>
        </w:rPr>
      </w:pPr>
      <w:r>
        <w:rPr>
          <w:rFonts w:hint="eastAsia" w:ascii="楷体_GB2312" w:eastAsia="楷体_GB2312"/>
          <w:highlight w:val="none"/>
        </w:rPr>
        <w:t>构建协同高效的依法行政体制。</w:t>
      </w:r>
      <w:r>
        <w:rPr>
          <w:rFonts w:hint="eastAsia" w:ascii="仿宋_GB2312" w:hAnsi="Calibri" w:cs="Times New Roman"/>
          <w:highlight w:val="none"/>
        </w:rPr>
        <w:t>严格落实重大行政决策法定程序，进一步完善政府权力清单和责任清单。深化综合行政执法体制改革，规范执法自由裁量权。完善行政审批管理体制，理顺市、区（市）权责关系，按照“简政放权、市区分权、统一责权”的原则，调整优化市、区（市）权责划分，最大限度向区级下放审批事项。</w:t>
      </w:r>
    </w:p>
    <w:p>
      <w:pPr>
        <w:pStyle w:val="3"/>
        <w:rPr>
          <w:highlight w:val="none"/>
        </w:rPr>
      </w:pPr>
      <w:bookmarkStart w:id="84" w:name="_Toc91488193"/>
      <w:r>
        <w:rPr>
          <w:rFonts w:hint="eastAsia"/>
          <w:highlight w:val="none"/>
        </w:rPr>
        <w:t>第六节 创新基层社会治理</w:t>
      </w:r>
      <w:bookmarkEnd w:id="81"/>
      <w:bookmarkEnd w:id="82"/>
      <w:bookmarkEnd w:id="83"/>
      <w:r>
        <w:rPr>
          <w:rFonts w:hint="eastAsia"/>
          <w:highlight w:val="none"/>
        </w:rPr>
        <w:t>模式</w:t>
      </w:r>
      <w:bookmarkEnd w:id="84"/>
    </w:p>
    <w:p>
      <w:pPr>
        <w:ind w:firstLine="640"/>
        <w:rPr>
          <w:highlight w:val="none"/>
        </w:rPr>
      </w:pPr>
      <w:r>
        <w:rPr>
          <w:rFonts w:hint="eastAsia" w:ascii="仿宋_GB2312" w:hAnsi="Calibri" w:cs="Times New Roman"/>
          <w:highlight w:val="none"/>
        </w:rPr>
        <w:t>坚持党建引领，完善共建共治共享的社会治理制度，推进市域社会治理现代化，打造人人有责、人人尽责、人人享有的城市社会治理共同体。</w:t>
      </w:r>
    </w:p>
    <w:p>
      <w:pPr>
        <w:ind w:firstLine="640"/>
        <w:rPr>
          <w:rFonts w:ascii="仿宋_GB2312"/>
          <w:highlight w:val="none"/>
        </w:rPr>
      </w:pPr>
      <w:r>
        <w:rPr>
          <w:rFonts w:hint="eastAsia" w:ascii="楷体_GB2312" w:eastAsia="楷体_GB2312"/>
          <w:highlight w:val="none"/>
        </w:rPr>
        <w:t>夯实基层社会治理基础。</w:t>
      </w:r>
      <w:r>
        <w:rPr>
          <w:rFonts w:hint="eastAsia" w:ascii="仿宋_GB2312"/>
          <w:highlight w:val="none"/>
        </w:rPr>
        <w:t>健全党组织领导的自治、法治、德治相结合的城乡基层治理体系,推动社会治理和服务重心向基层下移，推进网格化服务管理规范化、精细化。充分发挥基层党组织在社会治理中的战斗堡垒作用，积极推动党建引领社区治理。探索打造党建与基层社会治理深度融合的载体，推进“双报到”工作机制，实施“红心物业”党建领航工程，搭建社区党组织领导下的多方协同联动平台。加强市域协商民主制度建设，推动全市所有村居落实重大事项决策“四议两公开”。</w:t>
      </w:r>
    </w:p>
    <w:p>
      <w:pPr>
        <w:ind w:firstLine="640"/>
        <w:rPr>
          <w:rFonts w:ascii="仿宋_GB2312"/>
          <w:highlight w:val="none"/>
        </w:rPr>
      </w:pPr>
      <w:r>
        <w:rPr>
          <w:rFonts w:hint="eastAsia" w:ascii="楷体_GB2312" w:eastAsia="楷体_GB2312"/>
          <w:highlight w:val="none"/>
        </w:rPr>
        <w:t>建设社会治理共同体。</w:t>
      </w:r>
      <w:r>
        <w:rPr>
          <w:rFonts w:hint="eastAsia" w:ascii="仿宋_GB2312"/>
          <w:highlight w:val="none"/>
        </w:rPr>
        <w:t>发挥群团组织和社会组织在社会治理中的作用，畅通和规范市场主体、新社会阶层、社会工作者和志愿者等参与社会治理的途径。培育规范行业协会商会、公益慈善组织、城乡社区社会组织，加强财政奖补、购买服务、税收优惠、人才保障等政策支持和事中事后监管。支持和发展社会工作服务机构和志愿服务组织，壮大志愿者队伍，搭建更多志愿服务平台，健全志愿服务体系。全力建设“市域社会治理现代化优秀城市”。</w:t>
      </w:r>
    </w:p>
    <w:p>
      <w:pPr>
        <w:ind w:firstLine="640"/>
        <w:rPr>
          <w:rFonts w:ascii="仿宋_GB2312"/>
          <w:highlight w:val="none"/>
        </w:rPr>
      </w:pPr>
      <w:r>
        <w:rPr>
          <w:rFonts w:hint="eastAsia" w:ascii="楷体_GB2312" w:eastAsia="楷体_GB2312"/>
          <w:highlight w:val="none"/>
        </w:rPr>
        <w:t>健全社会矛盾纠纷和合化解体系。</w:t>
      </w:r>
      <w:r>
        <w:rPr>
          <w:rFonts w:hint="eastAsia" w:ascii="仿宋_GB2312"/>
          <w:highlight w:val="none"/>
        </w:rPr>
        <w:t>坚持和发展新时代“枫桥经验”，畅通和规范群众诉求表达、利益协调、权益保障通道，完善人民调解、行政调解、仲裁调解、司法调解联动体系，构建源头防控、排查梳理、纠纷化解、应急处置的社会矛盾综合治理机制，推动矛盾纠纷“一站式”化解。整合基础矛盾调处资源,分级分类推进实体平台建设,变多中心为一中心。加强重点利益诉求群体稳定工作，严格落实“三无一有”工作目标。健全完善重大决策社会稳定风险评估制度。</w:t>
      </w:r>
    </w:p>
    <w:p>
      <w:pPr>
        <w:ind w:firstLine="640"/>
        <w:rPr>
          <w:rFonts w:ascii="仿宋_GB2312"/>
          <w:highlight w:val="none"/>
        </w:rPr>
      </w:pPr>
      <w:r>
        <w:rPr>
          <w:rFonts w:hint="eastAsia" w:ascii="楷体_GB2312" w:eastAsia="楷体_GB2312"/>
          <w:highlight w:val="none"/>
        </w:rPr>
        <w:t>规范提升社会信用体系。</w:t>
      </w:r>
      <w:r>
        <w:rPr>
          <w:rFonts w:hint="eastAsia" w:ascii="仿宋_GB2312"/>
          <w:highlight w:val="none"/>
        </w:rPr>
        <w:t>全面弘扬诚实守信文化，塑造城市信用品牌建设，创新打造“诚信单位”、“诚信市民”、“诚信社区”等典型示范。完善公共信用信息社会开放共享机制，加强信用惠民便企、信用产品应用、行业信用自律等领域规范标准建设。加强个人信用档案建设，将有违公序良俗和违法行为纳入个人信用档案</w:t>
      </w:r>
      <w:r>
        <w:rPr>
          <w:rFonts w:hint="eastAsia" w:ascii="仿宋_GB2312" w:hAnsi="Calibri" w:cs="Times New Roman"/>
          <w:highlight w:val="none"/>
        </w:rPr>
        <w:t>。</w:t>
      </w:r>
    </w:p>
    <w:p>
      <w:pPr>
        <w:pStyle w:val="2"/>
        <w:rPr>
          <w:highlight w:val="none"/>
        </w:rPr>
      </w:pPr>
      <w:r>
        <w:rPr>
          <w:highlight w:val="none"/>
        </w:rPr>
        <w:br w:type="page"/>
      </w:r>
      <w:bookmarkStart w:id="85" w:name="_Toc91488194"/>
      <w:r>
        <w:rPr>
          <w:rFonts w:hint="eastAsia"/>
          <w:highlight w:val="none"/>
        </w:rPr>
        <w:t xml:space="preserve">第六章 </w:t>
      </w:r>
      <w:r>
        <w:rPr>
          <w:highlight w:val="none"/>
        </w:rPr>
        <w:t>实施保障</w:t>
      </w:r>
      <w:bookmarkEnd w:id="85"/>
    </w:p>
    <w:p>
      <w:pPr>
        <w:ind w:firstLine="640"/>
        <w:rPr>
          <w:rFonts w:ascii="仿宋_GB2312" w:hAnsi="Calibri" w:cs="Times New Roman"/>
          <w:highlight w:val="none"/>
        </w:rPr>
      </w:pPr>
    </w:p>
    <w:p>
      <w:pPr>
        <w:ind w:firstLine="640"/>
        <w:rPr>
          <w:highlight w:val="none"/>
        </w:rPr>
      </w:pPr>
      <w:r>
        <w:rPr>
          <w:rFonts w:ascii="仿宋_GB2312" w:hAnsi="Calibri" w:cs="Times New Roman"/>
          <w:highlight w:val="none"/>
        </w:rPr>
        <w:t>坚持党的全面领导，健全规划实施的组织和制度保障体系，强化政策协调和工作协同，高要求推进试点示范与行动计划实施，建立指标体系监测督导规划的迭代升级，确保本规划各项目标任务落到实处</w:t>
      </w:r>
      <w:r>
        <w:rPr>
          <w:rFonts w:hint="eastAsia" w:ascii="仿宋_GB2312" w:hAnsi="Calibri" w:cs="Times New Roman"/>
          <w:highlight w:val="none"/>
        </w:rPr>
        <w:t>。</w:t>
      </w:r>
    </w:p>
    <w:p>
      <w:pPr>
        <w:pStyle w:val="3"/>
        <w:rPr>
          <w:highlight w:val="none"/>
        </w:rPr>
      </w:pPr>
      <w:bookmarkStart w:id="86" w:name="_Toc91488195"/>
      <w:bookmarkStart w:id="87" w:name="_Toc85464067"/>
      <w:bookmarkStart w:id="88" w:name="_Toc88552468"/>
      <w:r>
        <w:rPr>
          <w:rFonts w:hint="eastAsia"/>
          <w:highlight w:val="none"/>
        </w:rPr>
        <w:t>第一节 加强组织领导</w:t>
      </w:r>
      <w:bookmarkEnd w:id="86"/>
      <w:bookmarkEnd w:id="87"/>
      <w:bookmarkEnd w:id="88"/>
    </w:p>
    <w:p>
      <w:pPr>
        <w:ind w:firstLine="640"/>
        <w:rPr>
          <w:rFonts w:ascii="楷体_GB2312" w:eastAsia="楷体_GB2312"/>
          <w:highlight w:val="none"/>
        </w:rPr>
      </w:pPr>
      <w:r>
        <w:rPr>
          <w:rFonts w:hint="eastAsia"/>
          <w:highlight w:val="none"/>
        </w:rPr>
        <w:t>始终将党的领导贯穿烟台市新型城镇化发展规划实施全过程，为顺利实现规划目标任务提供坚强保证。建立健全新型城镇化工作领导机制，研究审议重大规划、重大政策，协调重大问题和重大事项。各成员单位需加强对城镇化工作的指导、监督和协调，依据本规划细化工作方案，定期研究部署，落实相关政策。各市、区研究确立本地区新型城镇化发展目标和重点任务，制定年度计划，落实责任分工，有序推进新型城镇化与城乡融合建设。</w:t>
      </w:r>
    </w:p>
    <w:p>
      <w:pPr>
        <w:pStyle w:val="3"/>
        <w:rPr>
          <w:highlight w:val="none"/>
        </w:rPr>
      </w:pPr>
      <w:bookmarkStart w:id="89" w:name="_Toc85464068"/>
      <w:bookmarkStart w:id="90" w:name="_Toc91488196"/>
      <w:bookmarkStart w:id="91" w:name="_Toc88552469"/>
      <w:r>
        <w:rPr>
          <w:rFonts w:hint="eastAsia"/>
          <w:highlight w:val="none"/>
        </w:rPr>
        <w:t>第二节 完善政策配套</w:t>
      </w:r>
      <w:bookmarkEnd w:id="89"/>
      <w:bookmarkEnd w:id="90"/>
      <w:bookmarkEnd w:id="91"/>
    </w:p>
    <w:p>
      <w:pPr>
        <w:ind w:firstLine="640"/>
        <w:rPr>
          <w:rFonts w:ascii="楷体_GB2312" w:eastAsia="楷体_GB2312"/>
          <w:highlight w:val="none"/>
        </w:rPr>
      </w:pPr>
      <w:r>
        <w:rPr>
          <w:rFonts w:hint="eastAsia"/>
          <w:highlight w:val="none"/>
        </w:rPr>
        <w:t>建立健全相关地方性财税、科技、人才、用地、投融资、环境保护、人口集聚、社会保障等法规、规章和标准，加强各部门间的政策协调，形成相互衔接、务实管用的新型城镇化与城乡融合</w:t>
      </w:r>
      <w:r>
        <w:rPr>
          <w:highlight w:val="none"/>
        </w:rPr>
        <w:t>政策体系</w:t>
      </w:r>
      <w:r>
        <w:rPr>
          <w:rFonts w:hint="eastAsia"/>
          <w:highlight w:val="none"/>
        </w:rPr>
        <w:t>，加大对重大平台、重大工程、重大项目的倾斜保障，建立健全改革容错机制</w:t>
      </w:r>
      <w:r>
        <w:rPr>
          <w:highlight w:val="none"/>
        </w:rPr>
        <w:t>。重点在农业转移人口市民化、多元化投融资机制改革、产城融合及园区转型、</w:t>
      </w:r>
      <w:r>
        <w:rPr>
          <w:rFonts w:hint="eastAsia"/>
          <w:highlight w:val="none"/>
        </w:rPr>
        <w:t>“多规合一”、行政管理体制创新、土地管理制度改革、社会治理能力建设、城乡统筹建设等领域探索新的发展模式、积累实践经验。</w:t>
      </w:r>
    </w:p>
    <w:p>
      <w:pPr>
        <w:pStyle w:val="3"/>
        <w:rPr>
          <w:highlight w:val="none"/>
        </w:rPr>
      </w:pPr>
      <w:bookmarkStart w:id="92" w:name="_Toc85464069"/>
      <w:bookmarkStart w:id="93" w:name="_Toc91488197"/>
      <w:bookmarkStart w:id="94" w:name="_Toc88552470"/>
      <w:r>
        <w:rPr>
          <w:rFonts w:hint="eastAsia"/>
          <w:highlight w:val="none"/>
        </w:rPr>
        <w:t>第三节 加强试点示范</w:t>
      </w:r>
      <w:bookmarkEnd w:id="92"/>
      <w:bookmarkEnd w:id="93"/>
      <w:bookmarkEnd w:id="94"/>
    </w:p>
    <w:p>
      <w:pPr>
        <w:ind w:firstLine="640"/>
        <w:rPr>
          <w:rFonts w:asciiTheme="majorHAnsi" w:hAnsiTheme="majorHAnsi" w:cstheme="majorBidi"/>
          <w:highlight w:val="none"/>
        </w:rPr>
      </w:pPr>
      <w:r>
        <w:rPr>
          <w:highlight w:val="none"/>
        </w:rPr>
        <w:t>基于第三批国家新型城镇化综合试点，积极创建国家新型城镇化与城乡融合发展试点与示范区，从当地实际情况和具体实践出发，开展综合与分类相结合的试点探索，在全国率先走出一条具有胶东特色的新型城镇化与城乡融合发展道路。结合省级城乡融合发展试验区建设，进一步争取省级层面新型城镇化与城乡融合发展试点示范，按照</w:t>
      </w:r>
      <w:r>
        <w:rPr>
          <w:rFonts w:hint="eastAsia"/>
          <w:highlight w:val="none"/>
        </w:rPr>
        <w:t>“</w:t>
      </w:r>
      <w:r>
        <w:rPr>
          <w:highlight w:val="none"/>
        </w:rPr>
        <w:t>试点先行、以点带面、总结经验、稳步推进</w:t>
      </w:r>
      <w:r>
        <w:rPr>
          <w:rFonts w:hint="eastAsia"/>
          <w:highlight w:val="none"/>
        </w:rPr>
        <w:t>”</w:t>
      </w:r>
      <w:r>
        <w:rPr>
          <w:highlight w:val="none"/>
        </w:rPr>
        <w:t>的原则，鼓励市区、乡镇，在突出国家试点重点内容的基础上，创新新型城镇化与城乡融合发展模式与机制，争取在全省走在前列，及时总结推广成功经验</w:t>
      </w:r>
      <w:r>
        <w:rPr>
          <w:rFonts w:hint="eastAsia"/>
          <w:highlight w:val="none"/>
        </w:rPr>
        <w:t>。</w:t>
      </w:r>
    </w:p>
    <w:p>
      <w:pPr>
        <w:pStyle w:val="3"/>
        <w:rPr>
          <w:highlight w:val="none"/>
        </w:rPr>
      </w:pPr>
      <w:bookmarkStart w:id="95" w:name="_Toc85464070"/>
      <w:bookmarkStart w:id="96" w:name="_Toc91488198"/>
      <w:bookmarkStart w:id="97" w:name="_Toc88552471"/>
      <w:r>
        <w:rPr>
          <w:rFonts w:hint="eastAsia"/>
          <w:highlight w:val="none"/>
        </w:rPr>
        <w:t>第四节 完善监测督导</w:t>
      </w:r>
      <w:bookmarkEnd w:id="95"/>
      <w:bookmarkEnd w:id="96"/>
      <w:bookmarkEnd w:id="97"/>
    </w:p>
    <w:p>
      <w:pPr>
        <w:ind w:firstLine="640"/>
        <w:rPr>
          <w:highlight w:val="none"/>
        </w:rPr>
      </w:pPr>
      <w:r>
        <w:rPr>
          <w:highlight w:val="none"/>
        </w:rPr>
        <w:t>建立可充分反映新型城镇化与城乡融合发展质量的指标体系，加强城镇化统计工作，规范统计口径、统计标准和统计制度方法</w:t>
      </w:r>
      <w:r>
        <w:rPr>
          <w:rFonts w:hint="eastAsia"/>
          <w:highlight w:val="none"/>
        </w:rPr>
        <w:t>；根据国家与省有关要求，以烟台为样板，探索建立新型城镇化与城乡融合发展指数，以到“</w:t>
      </w:r>
      <w:r>
        <w:rPr>
          <w:rFonts w:hint="eastAsia" w:ascii="仿宋_GB2312"/>
          <w:highlight w:val="none"/>
        </w:rPr>
        <w:t>2035</w:t>
      </w:r>
      <w:r>
        <w:rPr>
          <w:rFonts w:hint="eastAsia"/>
          <w:highlight w:val="none"/>
        </w:rPr>
        <w:t>年基本实现现代化”为目标值，设定约束性指标与预期性指标，逐步形成具有普遍意义的新型城镇化与城乡融合发展评价体系，健全完善监测评价制度，数据统计做到数据采集与使用真实可靠，为新型城镇化与城乡融合发展决策提供科学参考。加快新型城镇化与城乡融合发展数字平台建立与迭代升级，建立健全月度报送、季度监测、半年度督导、年度总结评估的跟踪机制。</w:t>
      </w:r>
      <w:bookmarkEnd w:id="0"/>
    </w:p>
    <w:p>
      <w:pPr>
        <w:pStyle w:val="3"/>
        <w:rPr>
          <w:highlight w:val="none"/>
        </w:rPr>
      </w:pPr>
      <w:bookmarkStart w:id="98" w:name="_Toc91488199"/>
      <w:r>
        <w:rPr>
          <w:rFonts w:hint="eastAsia"/>
          <w:highlight w:val="none"/>
        </w:rPr>
        <w:t>第五节 制定行动计划</w:t>
      </w:r>
      <w:bookmarkEnd w:id="98"/>
    </w:p>
    <w:p>
      <w:pPr>
        <w:pStyle w:val="4"/>
        <w:numPr>
          <w:ilvl w:val="0"/>
          <w:numId w:val="2"/>
        </w:numPr>
        <w:ind w:left="0" w:firstLineChars="0"/>
        <w:rPr>
          <w:highlight w:val="none"/>
        </w:rPr>
      </w:pPr>
      <w:r>
        <w:rPr>
          <w:rFonts w:hint="eastAsia"/>
          <w:highlight w:val="none"/>
        </w:rPr>
        <w:t>协同城镇化行动</w:t>
      </w:r>
    </w:p>
    <w:p>
      <w:pPr>
        <w:ind w:firstLine="640"/>
        <w:rPr>
          <w:rFonts w:ascii="仿宋_GB2312" w:hAnsi="Calibri" w:cs="Times New Roman"/>
          <w:highlight w:val="none"/>
        </w:rPr>
      </w:pPr>
      <w:r>
        <w:rPr>
          <w:rFonts w:hint="eastAsia" w:ascii="仿宋_GB2312" w:hAnsi="Calibri" w:cs="Times New Roman"/>
          <w:highlight w:val="none"/>
        </w:rPr>
        <w:t>“十四五”期间，优化城镇化总体格局，构建高质量发展的国土空间布局和支撑体系，全面提升区域协调和城乡统筹水平。</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425"/>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gridSpan w:val="3"/>
            <w:vAlign w:val="center"/>
          </w:tcPr>
          <w:p>
            <w:pPr>
              <w:spacing w:before="217" w:beforeLines="50" w:after="217" w:afterLines="50" w:line="420" w:lineRule="exact"/>
              <w:ind w:firstLine="560"/>
              <w:jc w:val="center"/>
              <w:rPr>
                <w:rFonts w:ascii="黑体" w:hAnsi="黑体" w:eastAsia="黑体" w:cs="Times New Roman"/>
                <w:sz w:val="24"/>
                <w:szCs w:val="24"/>
                <w:highlight w:val="none"/>
              </w:rPr>
            </w:pPr>
            <w:r>
              <w:rPr>
                <w:rFonts w:hint="eastAsia" w:ascii="黑体" w:hAnsi="黑体" w:eastAsia="黑体" w:cs="ø´“»˛"/>
                <w:kern w:val="0"/>
                <w:sz w:val="28"/>
                <w:szCs w:val="28"/>
                <w:highlight w:val="none"/>
              </w:rPr>
              <w:t>专栏6-</w:t>
            </w:r>
            <w:r>
              <w:rPr>
                <w:rFonts w:ascii="黑体" w:hAnsi="黑体" w:eastAsia="黑体" w:cs="ø´“»˛"/>
                <w:kern w:val="0"/>
                <w:sz w:val="28"/>
                <w:szCs w:val="28"/>
                <w:highlight w:val="none"/>
              </w:rPr>
              <w:t>1</w:t>
            </w:r>
            <w:r>
              <w:rPr>
                <w:rFonts w:hint="eastAsia" w:ascii="黑体" w:hAnsi="黑体" w:eastAsia="黑体" w:cs="ø´“»˛"/>
                <w:kern w:val="0"/>
                <w:sz w:val="28"/>
                <w:szCs w:val="28"/>
                <w:highlight w:val="none"/>
              </w:rPr>
              <w:t>：协同城镇化行动任务清单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7"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类别</w:t>
            </w:r>
          </w:p>
        </w:tc>
        <w:tc>
          <w:tcPr>
            <w:tcW w:w="1425"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工程项目</w:t>
            </w:r>
          </w:p>
        </w:tc>
        <w:tc>
          <w:tcPr>
            <w:tcW w:w="5324"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中心城区、县域、小城镇、美丽乡村“四级联动”建设</w:t>
            </w: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“以水兴城”工程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统筹推进水系互通、海河互动、水城互融等工程，实现水系全面连通、海河联动开发。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中心城区首位度提升工程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贯通区际基础设施，加快蓬长一体化进程，高水平打造西部片区省级城乡融合发展试验区，高标准推进长岛综试区建设，启动临空经济区起步区建设。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中心城区“12335”建设</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全面突破芝罘区，以滨海黄金旅游带和夹河生态景观带为主体，构建“拥湾携水，玉带连珠”的空间新格局。建立“上下分离、快慢分离”的三环立体交通系统。以空港（蓬莱国际机场）、海港（蓬莱东港）、陆港（高铁烟台南站）三大枢纽建设为契机，构建便捷高效对外交通系统。以芝罘幸福新城、开发区八角湾新城、牟平新城、福山夹河新城、蓬莱新城</w:t>
            </w:r>
            <w:r>
              <w:rPr>
                <w:rFonts w:ascii="Times New Roman" w:hAnsi="Times New Roman" w:cs="Times New Roman"/>
                <w:sz w:val="24"/>
                <w:szCs w:val="24"/>
                <w:highlight w:val="none"/>
              </w:rPr>
              <w:t>5个新城起步区建设为着力点，培育形成“市级统筹、各区联动，上下一体、蓝图共绘”的发展新格局</w:t>
            </w:r>
            <w:r>
              <w:rPr>
                <w:rFonts w:hint="eastAsia"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强化县城产业工程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以农业园区、市民农庄等为载体，发展观光农业、乡村旅游、休闲康养等业态，搭建城乡产业协同发展平台。围绕公共服务设施提标扩面、环境卫生设施提级扩能、市政公用设施提档升级，加快补齐县城基础设施与公共服务短板弱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47"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培育新生小城市与特色小（城）镇工程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加快推进新生小城市试点培育，培育镇区人口过</w:t>
            </w:r>
            <w:r>
              <w:rPr>
                <w:rFonts w:ascii="Times New Roman" w:hAnsi="Times New Roman" w:cs="Times New Roman"/>
                <w:sz w:val="24"/>
                <w:szCs w:val="24"/>
                <w:highlight w:val="none"/>
              </w:rPr>
              <w:t>10万、地方财政收入过10亿元的新生小城市</w:t>
            </w:r>
            <w:r>
              <w:rPr>
                <w:rFonts w:hint="eastAsia" w:ascii="Times New Roman" w:hAnsi="Times New Roman" w:cs="Times New Roman"/>
                <w:sz w:val="24"/>
                <w:szCs w:val="24"/>
                <w:highlight w:val="none"/>
              </w:rPr>
              <w:t>。加快小城镇向小城市转化。培育发展卫星镇，遴选一批大城市周边的小城镇，积极对接城市需求，承接城市发展外溢红利。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47"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美丽乡村建设工程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实施“美丽乡村分类推进工程”，实施“美丽乡村示范片建设工程”，实施“美丽乡村示范村联创工程”。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47" w:type="dxa"/>
            <w:vMerge w:val="restart"/>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现代交通体系建设</w:t>
            </w: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提升航空枢纽功能和服务能级工程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保留并扩建蓬莱国际机场，完善蓬莱国际机场与国内外主要城市的航线网络。加快建设栖霞、蓬莱、长岛通用机场，研究启动建设高新区金山湾、莱州、招远、龙口等通用机场。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47" w:type="dxa"/>
            <w:vMerge w:val="continue"/>
            <w:vAlign w:val="center"/>
          </w:tcPr>
          <w:p>
            <w:pPr>
              <w:spacing w:line="240" w:lineRule="auto"/>
              <w:ind w:firstLine="0" w:firstLineChars="0"/>
              <w:jc w:val="center"/>
              <w:rPr>
                <w:rFonts w:ascii="Times New Roman" w:hAnsi="Times New Roman" w:cs="Times New Roman"/>
                <w:sz w:val="24"/>
                <w:szCs w:val="24"/>
                <w:highlight w:val="none"/>
              </w:rPr>
            </w:pPr>
          </w:p>
        </w:tc>
        <w:tc>
          <w:tcPr>
            <w:tcW w:w="1425"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完善物流设施体系工程</w:t>
            </w:r>
          </w:p>
        </w:tc>
        <w:tc>
          <w:tcPr>
            <w:tcW w:w="5324" w:type="dxa"/>
            <w:vAlign w:val="center"/>
          </w:tcPr>
          <w:p>
            <w:pPr>
              <w:spacing w:line="240" w:lineRule="auto"/>
              <w:ind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rPr>
              <w:t>依托烟台至大连海上“黄金水道”，继续打造环渤海鲁辽公铁水滚装联运、烟台港陆海联动集装箱公海铁多式联运等示范工程。</w:t>
            </w:r>
          </w:p>
        </w:tc>
      </w:tr>
    </w:tbl>
    <w:p>
      <w:pPr>
        <w:ind w:firstLine="640"/>
        <w:jc w:val="center"/>
        <w:rPr>
          <w:highlight w:val="none"/>
        </w:rPr>
      </w:pPr>
    </w:p>
    <w:p>
      <w:pPr>
        <w:pStyle w:val="4"/>
        <w:numPr>
          <w:ilvl w:val="0"/>
          <w:numId w:val="2"/>
        </w:numPr>
        <w:ind w:left="-142" w:firstLine="851" w:firstLineChars="0"/>
        <w:rPr>
          <w:highlight w:val="none"/>
        </w:rPr>
      </w:pPr>
      <w:r>
        <w:rPr>
          <w:rFonts w:hint="eastAsia"/>
          <w:highlight w:val="none"/>
        </w:rPr>
        <w:t>绿色城镇化行动</w:t>
      </w:r>
    </w:p>
    <w:p>
      <w:pPr>
        <w:ind w:firstLine="640"/>
        <w:rPr>
          <w:highlight w:val="none"/>
        </w:rPr>
      </w:pPr>
      <w:r>
        <w:rPr>
          <w:rFonts w:hint="eastAsia"/>
          <w:highlight w:val="none"/>
        </w:rPr>
        <w:t>坚持人与自然和谐共生，“十四五”期间，推动建设绿色低碳、生态宜居、魅力多彩、安全韧性的现代宜居城乡。</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374"/>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gridSpan w:val="3"/>
            <w:vAlign w:val="center"/>
          </w:tcPr>
          <w:p>
            <w:pPr>
              <w:spacing w:before="217" w:beforeLines="50" w:after="217" w:afterLines="50" w:line="420" w:lineRule="exact"/>
              <w:ind w:firstLine="560"/>
              <w:jc w:val="center"/>
              <w:rPr>
                <w:rFonts w:ascii="黑体" w:hAnsi="黑体" w:eastAsia="黑体"/>
                <w:sz w:val="24"/>
                <w:szCs w:val="24"/>
                <w:highlight w:val="none"/>
              </w:rPr>
            </w:pPr>
            <w:r>
              <w:rPr>
                <w:rFonts w:hint="eastAsia" w:ascii="黑体" w:hAnsi="黑体" w:eastAsia="黑体" w:cs="ø´“»˛"/>
                <w:kern w:val="0"/>
                <w:sz w:val="28"/>
                <w:szCs w:val="28"/>
                <w:highlight w:val="none"/>
              </w:rPr>
              <w:t>专栏6-2：绿色城镇化行动任务清单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类别</w:t>
            </w:r>
          </w:p>
        </w:tc>
        <w:tc>
          <w:tcPr>
            <w:tcW w:w="1374" w:type="dxa"/>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工程项目</w:t>
            </w:r>
          </w:p>
        </w:tc>
        <w:tc>
          <w:tcPr>
            <w:tcW w:w="5989" w:type="dxa"/>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Merge w:val="restart"/>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“碳中和”先锋城市建设</w:t>
            </w: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“双碳”规划与课题研究项目</w:t>
            </w:r>
          </w:p>
        </w:tc>
        <w:tc>
          <w:tcPr>
            <w:tcW w:w="5989" w:type="dxa"/>
            <w:vAlign w:val="center"/>
          </w:tcPr>
          <w:p>
            <w:pPr>
              <w:spacing w:line="240" w:lineRule="auto"/>
              <w:ind w:firstLine="0" w:firstLineChars="0"/>
              <w:rPr>
                <w:sz w:val="24"/>
                <w:szCs w:val="24"/>
                <w:highlight w:val="none"/>
              </w:rPr>
            </w:pPr>
            <w:r>
              <w:rPr>
                <w:rFonts w:hint="eastAsia" w:ascii="仿宋_GB2312" w:hAnsi="Times New Roman" w:cs="Times New Roman"/>
                <w:kern w:val="0"/>
                <w:sz w:val="24"/>
                <w:szCs w:val="28"/>
                <w:highlight w:val="none"/>
              </w:rPr>
              <w:t>联合企业、高校，研究编制“一谷一区一岛一港”发展规划。组建碳中和研究院，启动烟台市“双碳”发展规划，实现路径和智能低碳新型城市系统解决方案等课题研究。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“双碳”资产管理与交易项目</w:t>
            </w:r>
          </w:p>
        </w:tc>
        <w:tc>
          <w:tcPr>
            <w:tcW w:w="5989" w:type="dxa"/>
            <w:vAlign w:val="center"/>
          </w:tcPr>
          <w:p>
            <w:pPr>
              <w:spacing w:line="240" w:lineRule="auto"/>
              <w:ind w:firstLine="0" w:firstLineChars="0"/>
              <w:rPr>
                <w:sz w:val="24"/>
                <w:szCs w:val="24"/>
                <w:highlight w:val="none"/>
              </w:rPr>
            </w:pPr>
            <w:r>
              <w:rPr>
                <w:rFonts w:hint="eastAsia" w:ascii="仿宋_GB2312" w:hAnsi="Times New Roman" w:cs="Times New Roman"/>
                <w:kern w:val="0"/>
                <w:sz w:val="24"/>
                <w:szCs w:val="28"/>
                <w:highlight w:val="none"/>
              </w:rPr>
              <w:t>成立碳中和发展集团，组建“双碳”产业发展基金，规划设立区域性碳交易中心，建设“碳中和云”碳资产综合管理平台，探索建立碳账户、碳评价、绿能码和碳激励机制。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清洁能源产业发展工程</w:t>
            </w:r>
          </w:p>
        </w:tc>
        <w:tc>
          <w:tcPr>
            <w:tcW w:w="5989" w:type="dxa"/>
            <w:vAlign w:val="center"/>
          </w:tcPr>
          <w:p>
            <w:pPr>
              <w:spacing w:line="240" w:lineRule="auto"/>
              <w:ind w:firstLine="0" w:firstLineChars="0"/>
              <w:rPr>
                <w:sz w:val="24"/>
                <w:szCs w:val="24"/>
                <w:highlight w:val="none"/>
              </w:rPr>
            </w:pPr>
            <w:r>
              <w:rPr>
                <w:rFonts w:hint="eastAsia" w:ascii="仿宋_GB2312" w:hAnsi="Times New Roman" w:cs="Times New Roman"/>
                <w:kern w:val="0"/>
                <w:sz w:val="24"/>
                <w:szCs w:val="28"/>
                <w:highlight w:val="none"/>
              </w:rPr>
              <w:t>推进清洁能源产业高质量发展，落实清洁能源产业链“链长制”实施方案。到2025年，清洁能源装机容量占比达到55%左右，产业产值达到1200亿元。推动海阳核电核能清洁供热工程建设，打造全国首个“零碳”供暖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碳汇创新工程</w:t>
            </w:r>
          </w:p>
        </w:tc>
        <w:tc>
          <w:tcPr>
            <w:tcW w:w="5989" w:type="dxa"/>
            <w:vAlign w:val="center"/>
          </w:tcPr>
          <w:p>
            <w:pPr>
              <w:spacing w:line="240" w:lineRule="auto"/>
              <w:ind w:firstLine="0" w:firstLineChars="0"/>
              <w:rPr>
                <w:sz w:val="24"/>
                <w:szCs w:val="24"/>
                <w:highlight w:val="none"/>
              </w:rPr>
            </w:pPr>
            <w:r>
              <w:rPr>
                <w:rFonts w:hint="eastAsia" w:ascii="仿宋_GB2312" w:hAnsi="Times New Roman" w:cs="Times New Roman"/>
                <w:kern w:val="0"/>
                <w:sz w:val="24"/>
                <w:szCs w:val="28"/>
                <w:highlight w:val="none"/>
              </w:rPr>
              <w:t>探索海洋碳汇等生态价值实现路径，争取设立国家级重点实验室和院士工作站，打造全国综合性海洋碳汇技术创新平台。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建筑效能提升工程</w:t>
            </w:r>
          </w:p>
        </w:tc>
        <w:tc>
          <w:tcPr>
            <w:tcW w:w="5989" w:type="dxa"/>
            <w:vAlign w:val="center"/>
          </w:tcPr>
          <w:p>
            <w:pPr>
              <w:spacing w:line="240" w:lineRule="auto"/>
              <w:ind w:firstLine="0" w:firstLineChars="0"/>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推广绿色建筑、绿色建造、超低能耗建筑和装配式建筑，实施既有建筑节能改造，全面落实新建建筑绿色建筑标准。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restart"/>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美丽和谐生态城市建设</w:t>
            </w: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生态治理修复工程</w:t>
            </w:r>
          </w:p>
        </w:tc>
        <w:tc>
          <w:tcPr>
            <w:tcW w:w="5989" w:type="dxa"/>
            <w:vAlign w:val="center"/>
          </w:tcPr>
          <w:p>
            <w:pPr>
              <w:spacing w:line="240" w:lineRule="auto"/>
              <w:ind w:firstLine="0" w:firstLineChars="0"/>
              <w:rPr>
                <w:rFonts w:ascii="仿宋_GB2312" w:hAnsi="Times New Roman" w:cs="Times New Roman"/>
                <w:kern w:val="0"/>
                <w:sz w:val="24"/>
                <w:szCs w:val="28"/>
                <w:highlight w:val="none"/>
              </w:rPr>
            </w:pPr>
            <w:r>
              <w:rPr>
                <w:rFonts w:hint="eastAsia" w:ascii="仿宋_GB2312" w:hAnsi="Calibri" w:cs="Times New Roman"/>
                <w:kern w:val="0"/>
                <w:sz w:val="24"/>
                <w:szCs w:val="28"/>
                <w:highlight w:val="none"/>
              </w:rPr>
              <w:t>开展陆海污染一体化治理，协同推进治海、治河、治口、治岸工程。实施“仙境海岸”养护行动，开展退围还海、退养还滩、受损岸线修复等生态工程。全面推行湾长制，实施蓝色海湾治理工程。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城市有机更新工程</w:t>
            </w:r>
          </w:p>
        </w:tc>
        <w:tc>
          <w:tcPr>
            <w:tcW w:w="5989" w:type="dxa"/>
            <w:vAlign w:val="center"/>
          </w:tcPr>
          <w:p>
            <w:pPr>
              <w:spacing w:line="240" w:lineRule="auto"/>
              <w:ind w:firstLine="0" w:firstLineChars="0"/>
              <w:rPr>
                <w:rFonts w:ascii="仿宋_GB2312" w:hAnsi="Times New Roman" w:cs="Times New Roman"/>
                <w:kern w:val="0"/>
                <w:sz w:val="24"/>
                <w:szCs w:val="28"/>
                <w:highlight w:val="none"/>
              </w:rPr>
            </w:pPr>
            <w:r>
              <w:rPr>
                <w:rFonts w:hint="eastAsia" w:ascii="仿宋_GB2312" w:hAnsi="Calibri" w:cs="Times New Roman"/>
                <w:kern w:val="0"/>
                <w:sz w:val="24"/>
                <w:szCs w:val="28"/>
                <w:highlight w:val="none"/>
              </w:rPr>
              <w:t>完善城市生态绿地，建设一批“街头绿地”、“口袋公园”。实施城市实施老旧小区改造，近期全部完成2005年12月31日前建成的老旧小区改造。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城市</w:t>
            </w:r>
            <w:r>
              <w:rPr>
                <w:sz w:val="24"/>
                <w:szCs w:val="24"/>
                <w:highlight w:val="none"/>
              </w:rPr>
              <w:t>精细化管理</w:t>
            </w:r>
            <w:r>
              <w:rPr>
                <w:rFonts w:hint="eastAsia"/>
                <w:sz w:val="24"/>
                <w:szCs w:val="24"/>
                <w:highlight w:val="none"/>
              </w:rPr>
              <w:t>工程</w:t>
            </w:r>
          </w:p>
        </w:tc>
        <w:tc>
          <w:tcPr>
            <w:tcW w:w="5989" w:type="dxa"/>
            <w:vAlign w:val="center"/>
          </w:tcPr>
          <w:p>
            <w:pPr>
              <w:spacing w:line="240" w:lineRule="auto"/>
              <w:ind w:firstLine="0" w:firstLineChars="0"/>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健全市政公用设施常态化管护机制，持续开展环境综合整治提升行动、交通综合整治行动。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restart"/>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共享宜居城市建设</w:t>
            </w:r>
          </w:p>
        </w:tc>
        <w:tc>
          <w:tcPr>
            <w:tcW w:w="1374" w:type="dxa"/>
            <w:vAlign w:val="center"/>
          </w:tcPr>
          <w:p>
            <w:pPr>
              <w:spacing w:line="240" w:lineRule="auto"/>
              <w:ind w:firstLine="0" w:firstLineChars="0"/>
              <w:jc w:val="center"/>
              <w:rPr>
                <w:color w:val="C00000"/>
                <w:sz w:val="24"/>
                <w:szCs w:val="24"/>
                <w:highlight w:val="none"/>
              </w:rPr>
            </w:pPr>
            <w:r>
              <w:rPr>
                <w:rFonts w:hint="eastAsia"/>
                <w:sz w:val="24"/>
                <w:szCs w:val="24"/>
                <w:highlight w:val="none"/>
              </w:rPr>
              <w:t>15分钟生活圈项目</w:t>
            </w:r>
          </w:p>
        </w:tc>
        <w:tc>
          <w:tcPr>
            <w:tcW w:w="5989" w:type="dxa"/>
            <w:vAlign w:val="center"/>
          </w:tcPr>
          <w:p>
            <w:pPr>
              <w:spacing w:line="240" w:lineRule="auto"/>
              <w:ind w:firstLine="0" w:firstLineChars="0"/>
              <w:rPr>
                <w:rFonts w:ascii="仿宋_GB2312" w:hAnsi="Times New Roman" w:cs="Times New Roman"/>
                <w:color w:val="C00000"/>
                <w:kern w:val="0"/>
                <w:sz w:val="24"/>
                <w:szCs w:val="28"/>
                <w:highlight w:val="none"/>
              </w:rPr>
            </w:pPr>
            <w:r>
              <w:rPr>
                <w:rFonts w:hint="eastAsia" w:ascii="仿宋_GB2312" w:hAnsi="Calibri" w:cs="Times New Roman"/>
                <w:kern w:val="0"/>
                <w:sz w:val="24"/>
                <w:szCs w:val="28"/>
                <w:highlight w:val="none"/>
              </w:rPr>
              <w:t>完善城市公共服务设施，优化社区生活服务网络，打造15分钟社区生活圈，按照“一年试点，两年推广，三年覆盖”的思路，培育一批明星便民生活圈。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教育工程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建设烟台一中幸福校区、中国工业设计联合创新大学（平台）、烟台工程职业技术学院南校区、烟台汽车工程职业学院 VR+公共实训基地、烟台文化旅游职业学院、烟台幼儿师范高等专科学校、烟台航天航空职业学院、烟台卫生健康职业学院、烟台两岸科技职业学院、烟台城市科技学院、烟台科技职业学院、山东省国术职业学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医疗卫生工程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建社烟台市中医医院、烟台市奇山医院、烟台市妇幼保健院、烟台市优抚医院、烟台市国际口腔医学中心、烟台市心理康复医院新院区等。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restart"/>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魅力多彩人文城市建设</w:t>
            </w: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文化地标建设工程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建成集博物馆新馆、图书馆新馆、胶东文化创意馆于一体的市新文化中心，各区图书馆、文化馆全部达到国家二级以上水平，加快推进芝罘区、福山区、牟平区、蓬莱区符合国家标准的综合档案馆建设。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文化传承保护工程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持续推进朝阳街、所城里等特色文化街区保护性改造。建设一批重点红色旅游景点景区，推出红色旅游精品线路。依托非物质文化遗产资源，培育一批特色非遗村落。持续开展全国文明城市创建。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rFonts w:ascii="黑体" w:hAnsi="黑体" w:eastAsia="黑体"/>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文旅融合工程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出台《昆嵛山至长岛滨海一线区域旅游发展规划》。启动建设 “一山一街一城一湾一岛”芝罘仙境项目，高标准建设仙境海岸旅游带，建成养马岛至三山岛仙境海岸。高标准建设鲜美田园乡村旅游带，打造乡村旅游示范基地。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restart"/>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安全灵敏韧性城市</w:t>
            </w: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城市安全保障工程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开展城市体检评估，推进隐患排查整治，做好安全生产专项整治，开展对城市重点区域污水处理设施的建设和维护。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综合防灾减灾救灾能力提升工程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推进自然灾害防治九大工程，实施重点地区地震监测强化工程，建设安全生产综合应用系统、工地现场管理系统、市政基础设施项目管理系统。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33" w:type="dxa"/>
            <w:vMerge w:val="continue"/>
            <w:vAlign w:val="center"/>
          </w:tcPr>
          <w:p>
            <w:pPr>
              <w:spacing w:line="240" w:lineRule="auto"/>
              <w:ind w:firstLine="0" w:firstLineChars="0"/>
              <w:jc w:val="center"/>
              <w:rPr>
                <w:sz w:val="24"/>
                <w:szCs w:val="24"/>
                <w:highlight w:val="none"/>
              </w:rPr>
            </w:pPr>
          </w:p>
        </w:tc>
        <w:tc>
          <w:tcPr>
            <w:tcW w:w="1374" w:type="dxa"/>
            <w:vAlign w:val="center"/>
          </w:tcPr>
          <w:p>
            <w:pPr>
              <w:spacing w:line="240" w:lineRule="auto"/>
              <w:ind w:firstLine="0" w:firstLineChars="0"/>
              <w:jc w:val="center"/>
              <w:rPr>
                <w:sz w:val="24"/>
                <w:szCs w:val="24"/>
                <w:highlight w:val="none"/>
              </w:rPr>
            </w:pPr>
            <w:r>
              <w:rPr>
                <w:rFonts w:hint="eastAsia"/>
                <w:sz w:val="24"/>
                <w:szCs w:val="24"/>
                <w:highlight w:val="none"/>
              </w:rPr>
              <w:t>应急防控救援能力提升工程</w:t>
            </w:r>
          </w:p>
        </w:tc>
        <w:tc>
          <w:tcPr>
            <w:tcW w:w="5989" w:type="dxa"/>
            <w:vAlign w:val="center"/>
          </w:tcPr>
          <w:p>
            <w:pPr>
              <w:spacing w:line="240" w:lineRule="auto"/>
              <w:ind w:firstLine="0" w:firstLineChars="0"/>
              <w:rPr>
                <w:rFonts w:ascii="仿宋_GB2312" w:hAnsi="Calibri" w:cs="Times New Roman"/>
                <w:kern w:val="0"/>
                <w:sz w:val="24"/>
                <w:szCs w:val="28"/>
                <w:highlight w:val="none"/>
              </w:rPr>
            </w:pPr>
            <w:r>
              <w:rPr>
                <w:rFonts w:hint="eastAsia" w:ascii="仿宋_GB2312" w:hAnsi="Calibri" w:cs="Times New Roman"/>
                <w:kern w:val="0"/>
                <w:sz w:val="24"/>
                <w:szCs w:val="28"/>
                <w:highlight w:val="none"/>
              </w:rPr>
              <w:t>打造综合应急指挥平台，完善总体应急预案和安全生产类、自然灾害类专项应急预案和部门预案，完善应急物资储备体系，补充应急救援队伍。</w:t>
            </w:r>
          </w:p>
        </w:tc>
      </w:tr>
    </w:tbl>
    <w:p>
      <w:pPr>
        <w:tabs>
          <w:tab w:val="left" w:pos="1284"/>
        </w:tabs>
        <w:ind w:firstLine="640"/>
        <w:jc w:val="left"/>
        <w:rPr>
          <w:highlight w:val="none"/>
        </w:rPr>
      </w:pPr>
    </w:p>
    <w:p>
      <w:pPr>
        <w:pStyle w:val="4"/>
        <w:numPr>
          <w:ilvl w:val="0"/>
          <w:numId w:val="2"/>
        </w:numPr>
        <w:ind w:left="-142" w:firstLineChars="0"/>
        <w:rPr>
          <w:highlight w:val="none"/>
        </w:rPr>
      </w:pPr>
      <w:r>
        <w:rPr>
          <w:rFonts w:hint="eastAsia"/>
          <w:highlight w:val="none"/>
        </w:rPr>
        <w:t>双向城镇化行动</w:t>
      </w:r>
    </w:p>
    <w:p>
      <w:pPr>
        <w:ind w:firstLine="640"/>
        <w:rPr>
          <w:highlight w:val="none"/>
        </w:rPr>
      </w:pPr>
      <w:r>
        <w:rPr>
          <w:rFonts w:hint="eastAsia" w:ascii="仿宋_GB2312" w:hAnsi="仿宋" w:cs="Times New Roman"/>
          <w:bCs/>
          <w:szCs w:val="24"/>
          <w:highlight w:val="none"/>
        </w:rPr>
        <w:t>“十四五”期间，进一步加大人口集聚力度，引导城乡人口、土地、技术、资金等要素自由流动、平等交换、合理配置，推进城乡资源共享、经济融合。</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80"/>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pPr>
              <w:spacing w:before="217" w:beforeLines="50" w:after="217" w:afterLines="50" w:line="420" w:lineRule="exact"/>
              <w:ind w:firstLine="560"/>
              <w:jc w:val="center"/>
              <w:rPr>
                <w:rFonts w:ascii="黑体" w:hAnsi="黑体" w:eastAsia="黑体" w:cs="Times New Roman"/>
                <w:sz w:val="24"/>
                <w:szCs w:val="24"/>
                <w:highlight w:val="none"/>
              </w:rPr>
            </w:pPr>
            <w:r>
              <w:rPr>
                <w:rFonts w:hint="eastAsia" w:ascii="黑体" w:hAnsi="黑体" w:eastAsia="黑体" w:cs="ø´“»˛"/>
                <w:kern w:val="0"/>
                <w:sz w:val="28"/>
                <w:szCs w:val="28"/>
                <w:highlight w:val="none"/>
              </w:rPr>
              <w:t>专栏6-3：双向城镇化行动任务清单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类别</w:t>
            </w:r>
          </w:p>
        </w:tc>
        <w:tc>
          <w:tcPr>
            <w:tcW w:w="1280"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工程项目</w:t>
            </w:r>
          </w:p>
        </w:tc>
        <w:tc>
          <w:tcPr>
            <w:tcW w:w="5887"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加快非户籍常住人口融入城市</w:t>
            </w: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户籍制度改革</w:t>
            </w:r>
          </w:p>
        </w:tc>
        <w:tc>
          <w:tcPr>
            <w:tcW w:w="5887" w:type="dxa"/>
            <w:vAlign w:val="center"/>
          </w:tcPr>
          <w:p>
            <w:pPr>
              <w:spacing w:line="240" w:lineRule="auto"/>
              <w:ind w:firstLine="0" w:firstLineChars="0"/>
              <w:rPr>
                <w:rFonts w:ascii="Times New Roman" w:hAnsi="Times New Roman" w:cs="Times New Roman"/>
                <w:sz w:val="24"/>
                <w:szCs w:val="24"/>
                <w:highlight w:val="none"/>
              </w:rPr>
            </w:pPr>
            <w:r>
              <w:rPr>
                <w:rFonts w:hint="eastAsia" w:ascii="仿宋_GB2312" w:hAnsi="Times New Roman" w:cs="Times New Roman"/>
                <w:kern w:val="0"/>
                <w:sz w:val="24"/>
                <w:szCs w:val="20"/>
                <w:highlight w:val="none"/>
              </w:rPr>
              <w:t>落实《烟台市人民政府关于深化户籍管理制度改革促进城乡融合区域协调发展的实施意见》，实施城乡双向流动制度，</w:t>
            </w:r>
            <w:r>
              <w:rPr>
                <w:rFonts w:hint="eastAsia" w:ascii="仿宋_GB2312" w:hAnsi="Calibri" w:cs="Times New Roman"/>
                <w:kern w:val="0"/>
                <w:sz w:val="24"/>
                <w:szCs w:val="20"/>
                <w:highlight w:val="none"/>
              </w:rPr>
              <w:t>健全城镇社区（单位）集体户制度。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优化完善居住证制度</w:t>
            </w:r>
          </w:p>
        </w:tc>
        <w:tc>
          <w:tcPr>
            <w:tcW w:w="5887" w:type="dxa"/>
            <w:vAlign w:val="center"/>
          </w:tcPr>
          <w:p>
            <w:pPr>
              <w:spacing w:line="240" w:lineRule="auto"/>
              <w:ind w:firstLine="0" w:firstLineChars="0"/>
              <w:rPr>
                <w:rFonts w:ascii="Times New Roman" w:hAnsi="Times New Roman" w:cs="Times New Roman"/>
                <w:sz w:val="24"/>
                <w:szCs w:val="24"/>
                <w:highlight w:val="none"/>
              </w:rPr>
            </w:pPr>
            <w:r>
              <w:rPr>
                <w:rFonts w:hint="eastAsia" w:ascii="仿宋_GB2312" w:hAnsi="Calibri" w:cs="Times New Roman"/>
                <w:kern w:val="0"/>
                <w:sz w:val="24"/>
                <w:szCs w:val="20"/>
                <w:highlight w:val="none"/>
              </w:rPr>
              <w:t>放宽居住证明材料认定范围，推动居住证制度向常住人口全覆盖，将保障性住房（含公共租赁房）纳入居住证基本公共服务范围，加快居住证电子化进程。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深化人钱地挂钩政策</w:t>
            </w:r>
          </w:p>
        </w:tc>
        <w:tc>
          <w:tcPr>
            <w:tcW w:w="5887" w:type="dxa"/>
            <w:vAlign w:val="center"/>
          </w:tcPr>
          <w:p>
            <w:pPr>
              <w:spacing w:line="240" w:lineRule="auto"/>
              <w:ind w:firstLine="0" w:firstLineChars="0"/>
              <w:rPr>
                <w:rFonts w:ascii="仿宋_GB2312" w:hAnsi="Times New Roman" w:cs="Times New Roman"/>
                <w:kern w:val="0"/>
                <w:sz w:val="24"/>
                <w:szCs w:val="28"/>
                <w:highlight w:val="none"/>
              </w:rPr>
            </w:pPr>
            <w:r>
              <w:rPr>
                <w:rFonts w:hint="eastAsia" w:ascii="仿宋_GB2312" w:hAnsi="Times New Roman" w:cs="Times New Roman"/>
                <w:kern w:val="0"/>
                <w:sz w:val="24"/>
                <w:szCs w:val="20"/>
                <w:highlight w:val="none"/>
              </w:rPr>
              <w:t>落实山东省人民政府关于支持农业转移人口市民化若干财政政策的实施意见。统筹新增计划指标、批而未供土地、增减挂钩节余指标、存量建设用地等，做好农业转移人口市民化相关用地服务保障工作。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建立人口管理服务制度</w:t>
            </w:r>
          </w:p>
        </w:tc>
        <w:tc>
          <w:tcPr>
            <w:tcW w:w="5887" w:type="dxa"/>
            <w:vAlign w:val="center"/>
          </w:tcPr>
          <w:p>
            <w:pPr>
              <w:spacing w:line="240" w:lineRule="auto"/>
              <w:ind w:firstLine="0" w:firstLineChars="0"/>
              <w:rPr>
                <w:rFonts w:ascii="仿宋_GB2312" w:hAnsi="Times New Roman" w:cs="Times New Roman"/>
                <w:kern w:val="0"/>
                <w:sz w:val="24"/>
                <w:szCs w:val="28"/>
                <w:highlight w:val="none"/>
              </w:rPr>
            </w:pPr>
            <w:r>
              <w:rPr>
                <w:rFonts w:hint="eastAsia" w:ascii="仿宋_GB2312" w:hAnsi="Times New Roman" w:cs="Times New Roman"/>
                <w:kern w:val="0"/>
                <w:sz w:val="24"/>
                <w:szCs w:val="20"/>
                <w:highlight w:val="none"/>
              </w:rPr>
              <w:t>推进人口基础信息库建设，积极与国家、省及胶东经济圈城市人口数据平台对接，建立人口动态监测机制。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提升非户籍人口融入城市能力</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开展“民营企业招聘周”“就业援助月”“春风行动”等专项服务活动。加大农民工“高温津贴”“低温津贴”实施力度。持续推进根治欠薪专项行动。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推进城乡优质资源普惠共享</w:t>
            </w: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推动城乡基础设施深入融合</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推动城镇基础设施向农村延伸，深化“四好农村路”建设，稳步推进“户户通”工程，努力打通农村交通网。促进乡村基础设施提档升级。推进“数字乡村”建设，探索推进智慧农业、智慧村务、智慧医疗、智慧教育和智慧旅游等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均衡配置城乡优质教育资源</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实施乡村学校布局优化工程，实施乡村学校办学条件提升工程，实施乡村教育带头人培养工程，实施乡村教师配备工程，实施乡村办学质量提升工程。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健全城乡医疗健康服务体系</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实施基层医疗卫生服务能力提升3年行动，发展县域医共体，建成以中心村卫生室为主体、一般村卫生室和村卫生室服务点为补充，公益特色鲜明的村级医疗卫生服务体系，形成农村地区15分钟健康服务圈。建立城乡一体化医疗卫生信息化平台，实现医疗信息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pacing w:line="240" w:lineRule="auto"/>
              <w:ind w:firstLine="0" w:firstLineChars="0"/>
              <w:jc w:val="center"/>
              <w:rPr>
                <w:rFonts w:ascii="黑体" w:hAnsi="黑体" w:eastAsia="黑体" w:cs="Times New Roman"/>
                <w:sz w:val="24"/>
                <w:szCs w:val="24"/>
                <w:highlight w:val="none"/>
              </w:rPr>
            </w:pP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加强城乡公共文化服务体系</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实施乡村文化设施升级工程，实施乡村文化活动覆盖工程，实施乡村特色文化保护传承工程，实施乡村文艺创作“繁星”工程。加快推进公共文化服务云平台建设，推动公共文化数字化，加快建设数字图书馆、网上文化馆、网上剧院等数字文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推动城乡产业多元化发展</w:t>
            </w: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健全现代农业发展支持体系</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着力培育新型农业经营主体，培育壮大农业专业化的社会化服务组织。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pacing w:line="240" w:lineRule="auto"/>
              <w:ind w:firstLine="0" w:firstLineChars="0"/>
              <w:jc w:val="center"/>
              <w:rPr>
                <w:rFonts w:ascii="黑体" w:hAnsi="黑体" w:eastAsia="黑体" w:cs="Times New Roman"/>
                <w:sz w:val="24"/>
                <w:szCs w:val="24"/>
                <w:highlight w:val="none"/>
              </w:rPr>
            </w:pPr>
            <w:r>
              <w:rPr>
                <w:rFonts w:hint="eastAsia" w:ascii="黑体" w:hAnsi="黑体" w:eastAsia="黑体" w:cs="Times New Roman"/>
                <w:sz w:val="24"/>
                <w:szCs w:val="24"/>
                <w:highlight w:val="none"/>
              </w:rPr>
              <w:t>促进城乡居民共同富裕</w:t>
            </w:r>
          </w:p>
        </w:tc>
        <w:tc>
          <w:tcPr>
            <w:tcW w:w="1280" w:type="dxa"/>
            <w:vAlign w:val="center"/>
          </w:tcPr>
          <w:p>
            <w:pPr>
              <w:spacing w:line="240" w:lineRule="auto"/>
              <w:ind w:firstLine="0" w:firstLineChars="0"/>
              <w:jc w:val="center"/>
              <w:rPr>
                <w:rFonts w:ascii="Times New Roman" w:hAnsi="Times New Roman" w:cs="Times New Roman"/>
                <w:sz w:val="24"/>
                <w:szCs w:val="24"/>
                <w:highlight w:val="none"/>
              </w:rPr>
            </w:pPr>
            <w:r>
              <w:rPr>
                <w:rFonts w:hint="eastAsia" w:ascii="Times New Roman" w:hAnsi="Times New Roman" w:cs="Times New Roman"/>
                <w:sz w:val="24"/>
                <w:szCs w:val="24"/>
                <w:highlight w:val="none"/>
              </w:rPr>
              <w:t>促进乡村消费升级工程</w:t>
            </w:r>
          </w:p>
        </w:tc>
        <w:tc>
          <w:tcPr>
            <w:tcW w:w="5887" w:type="dxa"/>
            <w:vAlign w:val="center"/>
          </w:tcPr>
          <w:p>
            <w:pPr>
              <w:spacing w:line="240" w:lineRule="auto"/>
              <w:ind w:firstLine="0" w:firstLineChars="0"/>
              <w:rPr>
                <w:rFonts w:ascii="仿宋_GB2312" w:hAnsi="Times New Roman" w:cs="Times New Roman"/>
                <w:kern w:val="0"/>
                <w:sz w:val="24"/>
                <w:szCs w:val="20"/>
                <w:highlight w:val="none"/>
              </w:rPr>
            </w:pPr>
            <w:r>
              <w:rPr>
                <w:rFonts w:hint="eastAsia" w:ascii="仿宋_GB2312" w:hAnsi="Times New Roman" w:cs="Times New Roman"/>
                <w:kern w:val="0"/>
                <w:sz w:val="24"/>
                <w:szCs w:val="20"/>
                <w:highlight w:val="none"/>
              </w:rPr>
              <w:t>加快推进县域商业体系建设，开展新能源汽车下乡和废旧家电回收利用试点，全面实施农产品仓储保鲜冷链物流设施建设工程，推进田头小型仓储保鲜冷链设施、产地低温直销配送中心、骨干冷链物流基地建设。</w:t>
            </w:r>
          </w:p>
        </w:tc>
      </w:tr>
    </w:tbl>
    <w:p>
      <w:pPr>
        <w:pStyle w:val="4"/>
        <w:numPr>
          <w:ilvl w:val="0"/>
          <w:numId w:val="2"/>
        </w:numPr>
        <w:ind w:left="-142" w:firstLineChars="0"/>
        <w:rPr>
          <w:highlight w:val="none"/>
        </w:rPr>
      </w:pPr>
      <w:r>
        <w:rPr>
          <w:rFonts w:hint="eastAsia"/>
          <w:highlight w:val="none"/>
        </w:rPr>
        <w:t>创新城镇化行动</w:t>
      </w:r>
    </w:p>
    <w:p>
      <w:pPr>
        <w:ind w:firstLine="640"/>
        <w:rPr>
          <w:rFonts w:ascii="仿宋_GB2312" w:hAnsi="Calibri" w:cs="Times New Roman"/>
          <w:highlight w:val="none"/>
        </w:rPr>
      </w:pPr>
      <w:r>
        <w:rPr>
          <w:rFonts w:hint="eastAsia" w:ascii="仿宋_GB2312" w:hAnsi="Calibri" w:cs="Times New Roman"/>
          <w:highlight w:val="none"/>
        </w:rPr>
        <w:t>“十四五”期间，打造科技创新活力强市，以科技创新引领产业高质量发展，以技术创新驱动城市智慧化升级，推升治理能力与治理体系现代化。</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40"/>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pPr>
              <w:spacing w:before="217" w:beforeLines="50" w:after="217" w:afterLines="50" w:line="420" w:lineRule="exact"/>
              <w:ind w:firstLine="560"/>
              <w:jc w:val="center"/>
              <w:rPr>
                <w:rFonts w:ascii="黑体" w:hAnsi="黑体" w:eastAsia="黑体"/>
                <w:sz w:val="24"/>
                <w:szCs w:val="24"/>
                <w:highlight w:val="none"/>
              </w:rPr>
            </w:pPr>
            <w:r>
              <w:rPr>
                <w:rFonts w:hint="eastAsia" w:ascii="黑体" w:hAnsi="黑体" w:eastAsia="黑体" w:cs="ø´“»˛"/>
                <w:kern w:val="0"/>
                <w:sz w:val="28"/>
                <w:szCs w:val="28"/>
                <w:highlight w:val="none"/>
              </w:rPr>
              <w:t>专栏6-4：创新城镇化行动任务清单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类别</w:t>
            </w:r>
          </w:p>
        </w:tc>
        <w:tc>
          <w:tcPr>
            <w:tcW w:w="1240" w:type="dxa"/>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工程项目</w:t>
            </w:r>
          </w:p>
        </w:tc>
        <w:tc>
          <w:tcPr>
            <w:tcW w:w="6195" w:type="dxa"/>
            <w:vAlign w:val="center"/>
          </w:tcPr>
          <w:p>
            <w:pPr>
              <w:spacing w:line="240" w:lineRule="auto"/>
              <w:ind w:firstLine="0" w:firstLineChars="0"/>
              <w:jc w:val="center"/>
              <w:rPr>
                <w:rFonts w:ascii="黑体" w:hAnsi="黑体" w:eastAsia="黑体"/>
                <w:sz w:val="24"/>
                <w:szCs w:val="24"/>
                <w:highlight w:val="none"/>
              </w:rPr>
            </w:pPr>
            <w:r>
              <w:rPr>
                <w:rFonts w:hint="eastAsia" w:ascii="黑体" w:hAnsi="黑体" w:eastAsia="黑体"/>
                <w:sz w:val="24"/>
                <w:szCs w:val="24"/>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pPr>
              <w:spacing w:line="240" w:lineRule="auto"/>
              <w:ind w:firstLine="0" w:firstLineChars="0"/>
              <w:jc w:val="center"/>
              <w:rPr>
                <w:rFonts w:ascii="黑体" w:hAnsi="黑体" w:eastAsia="黑体" w:cs="Times New Roman"/>
                <w:kern w:val="0"/>
                <w:sz w:val="24"/>
                <w:szCs w:val="28"/>
                <w:highlight w:val="none"/>
              </w:rPr>
            </w:pPr>
            <w:r>
              <w:rPr>
                <w:rFonts w:hint="eastAsia" w:ascii="黑体" w:hAnsi="黑体" w:eastAsia="黑体" w:cs="Times New Roman"/>
                <w:kern w:val="0"/>
                <w:sz w:val="24"/>
                <w:szCs w:val="28"/>
                <w:highlight w:val="none"/>
              </w:rPr>
              <w:t>创新驱动引领</w:t>
            </w:r>
          </w:p>
        </w:tc>
        <w:tc>
          <w:tcPr>
            <w:tcW w:w="1240" w:type="dxa"/>
            <w:vAlign w:val="center"/>
          </w:tcPr>
          <w:p>
            <w:pPr>
              <w:spacing w:line="240" w:lineRule="auto"/>
              <w:ind w:firstLine="0" w:firstLineChars="0"/>
              <w:jc w:val="center"/>
              <w:rPr>
                <w:sz w:val="24"/>
                <w:szCs w:val="24"/>
                <w:highlight w:val="none"/>
              </w:rPr>
            </w:pPr>
            <w:r>
              <w:rPr>
                <w:rFonts w:hint="eastAsia" w:ascii="仿宋_GB2312" w:hAnsi="Times New Roman" w:cs="Times New Roman"/>
                <w:kern w:val="0"/>
                <w:sz w:val="24"/>
                <w:szCs w:val="28"/>
                <w:highlight w:val="none"/>
              </w:rPr>
              <w:t>科技创新载体建设</w:t>
            </w:r>
          </w:p>
        </w:tc>
        <w:tc>
          <w:tcPr>
            <w:tcW w:w="6195" w:type="dxa"/>
            <w:vAlign w:val="center"/>
          </w:tcPr>
          <w:p>
            <w:pPr>
              <w:spacing w:line="240" w:lineRule="auto"/>
              <w:ind w:firstLine="0" w:firstLineChars="0"/>
              <w:jc w:val="left"/>
              <w:rPr>
                <w:sz w:val="24"/>
                <w:szCs w:val="24"/>
                <w:highlight w:val="none"/>
              </w:rPr>
            </w:pPr>
            <w:r>
              <w:rPr>
                <w:rFonts w:hint="eastAsia" w:ascii="仿宋_GB2312" w:hAnsi="Times New Roman" w:cs="Times New Roman"/>
                <w:kern w:val="0"/>
                <w:sz w:val="24"/>
                <w:szCs w:val="28"/>
                <w:highlight w:val="none"/>
              </w:rPr>
              <w:t>建设烟台市国家核电产业技术创新平台等重点科技创新平台，国家微纳制造创新中心暨烟台人工智能产业园等特色科技创新园区，中韩科创孵化合作基地等国际科技合作平台，国技术交易所(烟台)科技成果转化服务中心等成果转移转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sz w:val="24"/>
                <w:szCs w:val="24"/>
                <w:highlight w:val="none"/>
              </w:rPr>
            </w:pPr>
            <w:r>
              <w:rPr>
                <w:rFonts w:hint="eastAsia" w:ascii="仿宋_GB2312" w:hAnsi="Times New Roman" w:cs="Times New Roman"/>
                <w:kern w:val="0"/>
                <w:sz w:val="24"/>
                <w:szCs w:val="28"/>
                <w:highlight w:val="none"/>
              </w:rPr>
              <w:t>企业规模数量倍增工程</w:t>
            </w:r>
          </w:p>
        </w:tc>
        <w:tc>
          <w:tcPr>
            <w:tcW w:w="6195" w:type="dxa"/>
            <w:vAlign w:val="center"/>
          </w:tcPr>
          <w:p>
            <w:pPr>
              <w:spacing w:line="420" w:lineRule="exact"/>
              <w:ind w:firstLine="0" w:firstLineChars="0"/>
              <w:jc w:val="left"/>
              <w:rPr>
                <w:sz w:val="24"/>
                <w:szCs w:val="24"/>
                <w:highlight w:val="none"/>
              </w:rPr>
            </w:pPr>
            <w:r>
              <w:rPr>
                <w:rFonts w:hint="eastAsia" w:ascii="仿宋_GB2312" w:hAnsi="仿宋" w:cs="Times New Roman"/>
                <w:kern w:val="0"/>
                <w:sz w:val="24"/>
                <w:szCs w:val="28"/>
                <w:highlight w:val="none"/>
              </w:rPr>
              <w:t>在高端装备、新材料、新一代信息技术、生物医药等领域，重点打造一批创新能力强、发展前景好的高新技术企业集群。到2025 年，高新技术企业和科技型中小企业数量实现“双倍增”，分别达到2000 家和4000 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企业科技创新能力提升工程</w:t>
            </w:r>
          </w:p>
        </w:tc>
        <w:tc>
          <w:tcPr>
            <w:tcW w:w="6195" w:type="dxa"/>
            <w:vAlign w:val="center"/>
          </w:tcPr>
          <w:p>
            <w:pPr>
              <w:spacing w:line="420" w:lineRule="exact"/>
              <w:ind w:firstLine="0" w:firstLineChars="0"/>
              <w:jc w:val="left"/>
              <w:rPr>
                <w:rFonts w:ascii="仿宋_GB2312" w:hAnsi="Times New Roman" w:cs="Times New Roman"/>
                <w:kern w:val="0"/>
                <w:sz w:val="24"/>
                <w:szCs w:val="28"/>
                <w:highlight w:val="none"/>
              </w:rPr>
            </w:pPr>
            <w:r>
              <w:rPr>
                <w:rFonts w:hint="eastAsia" w:ascii="仿宋_GB2312" w:hAnsi="仿宋" w:cs="Times New Roman"/>
                <w:kern w:val="0"/>
                <w:sz w:val="24"/>
                <w:szCs w:val="28"/>
                <w:highlight w:val="none"/>
              </w:rPr>
              <w:t>支持骨干企业在高端化工、新材料、智能制造等优势领域，新组建一批国家级、省级技术创新中心、重点实验室、产业创新中心等。深化与中国科学院、中国工程院、“双一流”高校及驻烟高校院所合作，共建一批符合全市产业发展定位、具有行业领先水平的研发平台，提升协同创新能力，到2025 年，力争全市规模以上大型工业企业全部建立研发机构。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sz w:val="24"/>
                <w:szCs w:val="24"/>
                <w:highlight w:val="none"/>
              </w:rPr>
            </w:pPr>
            <w:r>
              <w:rPr>
                <w:rFonts w:hint="eastAsia" w:ascii="仿宋_GB2312" w:hAnsi="Times New Roman" w:cs="Times New Roman"/>
                <w:kern w:val="0"/>
                <w:sz w:val="24"/>
                <w:szCs w:val="28"/>
                <w:highlight w:val="none"/>
              </w:rPr>
              <w:t>创新人才培引工程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仿宋" w:cs="Times New Roman"/>
                <w:kern w:val="0"/>
                <w:sz w:val="24"/>
                <w:szCs w:val="28"/>
                <w:highlight w:val="none"/>
              </w:rPr>
              <w:t>积极推进“烟台工匠”建设工程、“金蓝领”培训计划，实施知识更新工程和技能提升行动，每年新增高技能人才1000 人以上。实施新一轮“双百计划”和引才新政，对特殊人才“一事一议”，引进一批创新创业团队和优质高端人才。</w:t>
            </w:r>
            <w:r>
              <w:rPr>
                <w:rFonts w:hint="eastAsia" w:ascii="仿宋_GB2312" w:hAnsi="仿宋" w:cs="仿宋_GB2312"/>
                <w:kern w:val="0"/>
                <w:sz w:val="24"/>
                <w:szCs w:val="28"/>
                <w:highlight w:val="none"/>
              </w:rPr>
              <w:t>设立一批人才工作联络站和创新合作交流站，举办“名校名企行”“千企万岗进校园”“青鸟计划”“名校人才直通车”等专项活动，吸引驻烟高校、院所毕业生留烟就业创业。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pPr>
              <w:spacing w:line="240" w:lineRule="auto"/>
              <w:ind w:firstLine="0" w:firstLineChars="0"/>
              <w:jc w:val="center"/>
              <w:rPr>
                <w:rFonts w:ascii="黑体" w:hAnsi="黑体" w:eastAsia="黑体" w:cs="Times New Roman"/>
                <w:kern w:val="0"/>
                <w:sz w:val="24"/>
                <w:szCs w:val="28"/>
                <w:highlight w:val="none"/>
              </w:rPr>
            </w:pPr>
            <w:r>
              <w:rPr>
                <w:rFonts w:hint="eastAsia" w:ascii="黑体" w:hAnsi="黑体" w:eastAsia="黑体" w:cs="Times New Roman"/>
                <w:kern w:val="0"/>
                <w:sz w:val="24"/>
                <w:szCs w:val="28"/>
                <w:highlight w:val="none"/>
              </w:rPr>
              <w:t>产业提质升级</w:t>
            </w: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制造业优势产业集群化发展重点项目</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推进建设山东黄金莱州世界级基地、中国高端海工装备基地、华为（龙口）城市智能体和大数据产业园、山东国际生物科技园、石药集团生物医药高科技产业园、业达国际生物医药创新孵化中心、海阳新能源装备生产研发基地等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现代服务业发展载体建设</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推进工业设计、现代物流、科技服务、金融服务、会展业、商务服务、文化旅游、健康养老等领域的项目建设。包括</w:t>
            </w:r>
            <w:r>
              <w:rPr>
                <w:rFonts w:hint="eastAsia" w:hAnsi="宋体"/>
                <w:sz w:val="24"/>
                <w:szCs w:val="24"/>
                <w:highlight w:val="none"/>
              </w:rPr>
              <w:t>烟台国际设计小镇、烟台港西港区大宗货物综合物流园、橙色云协同创新生态平台、山东省区域性基金管理中心、国际葡萄酒博览会、国家（烟台）临空经济示范区、吾悦广场等。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pPr>
              <w:spacing w:line="240" w:lineRule="auto"/>
              <w:ind w:firstLine="0" w:firstLineChars="0"/>
              <w:jc w:val="center"/>
              <w:rPr>
                <w:rFonts w:ascii="黑体" w:hAnsi="黑体" w:eastAsia="黑体" w:cs="Times New Roman"/>
                <w:kern w:val="0"/>
                <w:sz w:val="24"/>
                <w:szCs w:val="28"/>
                <w:highlight w:val="none"/>
              </w:rPr>
            </w:pPr>
            <w:r>
              <w:rPr>
                <w:rFonts w:hint="eastAsia" w:ascii="黑体" w:hAnsi="黑体" w:eastAsia="黑体" w:cs="Times New Roman"/>
                <w:kern w:val="0"/>
                <w:sz w:val="24"/>
                <w:szCs w:val="28"/>
                <w:highlight w:val="none"/>
              </w:rPr>
              <w:t>智慧生态建设</w:t>
            </w: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数字基建提升工程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布局新型基础设施建设，加快5G建设布局，集约建设数据中心，加强城市供排水、燃气等市政基础设施改造。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数字产业培育工程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培育电子信息及软件产业等数字经济产业集群。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数字赋能发展工程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推进制造业、服务业、农业数字化改造。打造一批国内知名、省内领先的工业互联网平台。开展“现代优势产业集群+人工智能”试点建设。建设农业农村基础数据库，推进农业农村工作一张图建设，启动海阳、栖霞等智慧农业试验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黑体" w:hAnsi="黑体" w:eastAsia="黑体" w:cs="Times New Roman"/>
                <w:kern w:val="0"/>
                <w:sz w:val="24"/>
                <w:szCs w:val="28"/>
                <w:highlight w:val="none"/>
              </w:rPr>
            </w:pP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智慧城市建设工程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统筹建设烟台“城市大脑”，开展智慧工厂培育、智慧信用体系创建、城市应急保障数字化、智慧海洋、智慧教育、智慧医疗、智慧交通、智慧人社等行动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pPr>
              <w:spacing w:line="240" w:lineRule="auto"/>
              <w:ind w:firstLine="0" w:firstLineChars="0"/>
              <w:jc w:val="center"/>
              <w:rPr>
                <w:rFonts w:ascii="黑体" w:hAnsi="黑体" w:eastAsia="黑体" w:cs="Times New Roman"/>
                <w:kern w:val="0"/>
                <w:sz w:val="24"/>
                <w:szCs w:val="28"/>
                <w:highlight w:val="none"/>
              </w:rPr>
            </w:pPr>
            <w:r>
              <w:rPr>
                <w:rFonts w:hint="eastAsia" w:ascii="黑体" w:hAnsi="黑体" w:eastAsia="黑体" w:cs="Times New Roman"/>
                <w:kern w:val="0"/>
                <w:sz w:val="24"/>
                <w:szCs w:val="28"/>
                <w:highlight w:val="none"/>
              </w:rPr>
              <w:t>治理水平提升</w:t>
            </w: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数字政府智治工程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加快数字政府基础设施建设，强化一体化城市云体系建设，优化“互联网+政务服务”，深化“一网通办”“一号通行”“一码通城”融合应用，提升电子“两证”覆盖率，完善全市统一的公共数据开放平台。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vAlign w:val="center"/>
          </w:tcPr>
          <w:p>
            <w:pPr>
              <w:spacing w:line="240" w:lineRule="auto"/>
              <w:ind w:firstLine="0" w:firstLineChars="0"/>
              <w:jc w:val="center"/>
              <w:rPr>
                <w:rFonts w:ascii="仿宋_GB2312" w:hAnsi="Times New Roman" w:cs="Times New Roman"/>
                <w:kern w:val="0"/>
                <w:sz w:val="24"/>
                <w:szCs w:val="28"/>
                <w:highlight w:val="none"/>
              </w:rPr>
            </w:pPr>
          </w:p>
        </w:tc>
        <w:tc>
          <w:tcPr>
            <w:tcW w:w="1240" w:type="dxa"/>
            <w:vAlign w:val="center"/>
          </w:tcPr>
          <w:p>
            <w:pPr>
              <w:spacing w:line="240" w:lineRule="auto"/>
              <w:ind w:firstLine="0" w:firstLineChars="0"/>
              <w:jc w:val="center"/>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社会治理创新工程</w:t>
            </w:r>
          </w:p>
        </w:tc>
        <w:tc>
          <w:tcPr>
            <w:tcW w:w="6195" w:type="dxa"/>
            <w:vAlign w:val="center"/>
          </w:tcPr>
          <w:p>
            <w:pPr>
              <w:spacing w:line="240" w:lineRule="auto"/>
              <w:ind w:firstLine="0" w:firstLineChars="0"/>
              <w:jc w:val="left"/>
              <w:rPr>
                <w:rFonts w:ascii="仿宋_GB2312" w:hAnsi="Times New Roman" w:cs="Times New Roman"/>
                <w:kern w:val="0"/>
                <w:sz w:val="24"/>
                <w:szCs w:val="28"/>
                <w:highlight w:val="none"/>
              </w:rPr>
            </w:pPr>
            <w:r>
              <w:rPr>
                <w:rFonts w:hint="eastAsia" w:ascii="仿宋_GB2312" w:hAnsi="Times New Roman" w:cs="Times New Roman"/>
                <w:kern w:val="0"/>
                <w:sz w:val="24"/>
                <w:szCs w:val="28"/>
                <w:highlight w:val="none"/>
              </w:rPr>
              <w:t>夯实基层社会治理基础，推进“双报到”工作机制，实施“红心物业”党建领航工程。推动全市所有村居落实重大事项决策“四议两公开”。发展社会工作服务机构和志愿服务组织，壮大志愿者队伍。整合基础矛盾调处资源,分级分类推进实体平台建设。</w:t>
            </w:r>
          </w:p>
        </w:tc>
      </w:tr>
    </w:tbl>
    <w:p>
      <w:pPr>
        <w:pStyle w:val="3"/>
        <w:rPr>
          <w:highlight w:val="none"/>
        </w:rPr>
      </w:pPr>
    </w:p>
    <w:sectPr>
      <w:type w:val="continuous"/>
      <w:pgSz w:w="11906" w:h="16838"/>
      <w:pgMar w:top="1440" w:right="1800" w:bottom="1440" w:left="1800" w:header="851" w:footer="454"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å¢ªÃó≈_/">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ø´“»˛">
    <w:altName w:val="Calibri"/>
    <w:panose1 w:val="00000000000000000000"/>
    <w:charset w:val="4D"/>
    <w:family w:val="auto"/>
    <w:pitch w:val="default"/>
    <w:sig w:usb0="00000000" w:usb1="00000000" w:usb2="00000000" w:usb3="00000000" w:csb0="00000001" w:csb1="00000000"/>
  </w:font>
  <w:font w:name="`ﬁ“»˛">
    <w:altName w:val="Calibri"/>
    <w:panose1 w:val="00000000000000000000"/>
    <w:charset w:val="4D"/>
    <w:family w:val="auto"/>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169000"/>
    </w:sdtPr>
    <w:sdtContent>
      <w:p>
        <w:pPr>
          <w:pStyle w:val="15"/>
          <w:ind w:firstLine="360"/>
          <w:jc w:val="center"/>
        </w:pPr>
        <w:r>
          <w:fldChar w:fldCharType="begin"/>
        </w:r>
        <w:r>
          <w:instrText xml:space="preserve">PAGE   \* MERGEFORMAT</w:instrText>
        </w:r>
        <w:r>
          <w:fldChar w:fldCharType="separate"/>
        </w:r>
        <w:r>
          <w:rPr>
            <w:lang w:val="zh-CN"/>
          </w:rPr>
          <w:t>65</w:t>
        </w:r>
        <w:r>
          <w:fldChar w:fldCharType="end"/>
        </w:r>
      </w:p>
    </w:sdtContent>
  </w:sdt>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637B0"/>
    <w:multiLevelType w:val="singleLevel"/>
    <w:tmpl w:val="199637B0"/>
    <w:lvl w:ilvl="0" w:tentative="0">
      <w:start w:val="1"/>
      <w:numFmt w:val="chineseCounting"/>
      <w:suff w:val="space"/>
      <w:lvlText w:val="第%1节"/>
      <w:lvlJc w:val="left"/>
      <w:rPr>
        <w:rFonts w:hint="eastAsia"/>
      </w:rPr>
    </w:lvl>
  </w:abstractNum>
  <w:abstractNum w:abstractNumId="1">
    <w:nsid w:val="48455BAF"/>
    <w:multiLevelType w:val="singleLevel"/>
    <w:tmpl w:val="48455BAF"/>
    <w:lvl w:ilvl="0" w:tentative="0">
      <w:start w:val="1"/>
      <w:numFmt w:val="chineseCounting"/>
      <w:suff w:val="nothing"/>
      <w:lvlText w:val="%1、"/>
      <w:lvlJc w:val="left"/>
      <w:pPr>
        <w:ind w:left="6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F5"/>
    <w:rsid w:val="000013F7"/>
    <w:rsid w:val="00001E50"/>
    <w:rsid w:val="0000313B"/>
    <w:rsid w:val="0000359F"/>
    <w:rsid w:val="00005185"/>
    <w:rsid w:val="00005319"/>
    <w:rsid w:val="00006864"/>
    <w:rsid w:val="00011AC0"/>
    <w:rsid w:val="00012526"/>
    <w:rsid w:val="0001256D"/>
    <w:rsid w:val="00012BDD"/>
    <w:rsid w:val="00012E49"/>
    <w:rsid w:val="00020AE8"/>
    <w:rsid w:val="00020C6F"/>
    <w:rsid w:val="00021057"/>
    <w:rsid w:val="0002241B"/>
    <w:rsid w:val="000224C3"/>
    <w:rsid w:val="00022513"/>
    <w:rsid w:val="000252C4"/>
    <w:rsid w:val="0002561A"/>
    <w:rsid w:val="00025DC8"/>
    <w:rsid w:val="0003199A"/>
    <w:rsid w:val="00031E6A"/>
    <w:rsid w:val="00032C68"/>
    <w:rsid w:val="00034029"/>
    <w:rsid w:val="00034DCE"/>
    <w:rsid w:val="00036B40"/>
    <w:rsid w:val="000400B3"/>
    <w:rsid w:val="000413F1"/>
    <w:rsid w:val="000436B6"/>
    <w:rsid w:val="000447E0"/>
    <w:rsid w:val="000451F1"/>
    <w:rsid w:val="00045744"/>
    <w:rsid w:val="000476AD"/>
    <w:rsid w:val="00050FF4"/>
    <w:rsid w:val="00056B01"/>
    <w:rsid w:val="00061315"/>
    <w:rsid w:val="000619E9"/>
    <w:rsid w:val="0006343E"/>
    <w:rsid w:val="00066855"/>
    <w:rsid w:val="000675B2"/>
    <w:rsid w:val="00067FAB"/>
    <w:rsid w:val="000711F1"/>
    <w:rsid w:val="00072838"/>
    <w:rsid w:val="00072A79"/>
    <w:rsid w:val="00075D4B"/>
    <w:rsid w:val="000769E8"/>
    <w:rsid w:val="0008178B"/>
    <w:rsid w:val="00082E50"/>
    <w:rsid w:val="000857ED"/>
    <w:rsid w:val="00086BC1"/>
    <w:rsid w:val="000872C6"/>
    <w:rsid w:val="00091E7C"/>
    <w:rsid w:val="00092507"/>
    <w:rsid w:val="00092FB4"/>
    <w:rsid w:val="000954C0"/>
    <w:rsid w:val="0009716D"/>
    <w:rsid w:val="000A170C"/>
    <w:rsid w:val="000A19DF"/>
    <w:rsid w:val="000A31F5"/>
    <w:rsid w:val="000A6AF2"/>
    <w:rsid w:val="000B0A4B"/>
    <w:rsid w:val="000B0BDB"/>
    <w:rsid w:val="000B0D61"/>
    <w:rsid w:val="000B135E"/>
    <w:rsid w:val="000B6D94"/>
    <w:rsid w:val="000B7633"/>
    <w:rsid w:val="000C016F"/>
    <w:rsid w:val="000C1C40"/>
    <w:rsid w:val="000C44B8"/>
    <w:rsid w:val="000C5A20"/>
    <w:rsid w:val="000C5D87"/>
    <w:rsid w:val="000C5FE2"/>
    <w:rsid w:val="000C6142"/>
    <w:rsid w:val="000C6211"/>
    <w:rsid w:val="000C6A1B"/>
    <w:rsid w:val="000C6AB7"/>
    <w:rsid w:val="000D2D59"/>
    <w:rsid w:val="000D3B3D"/>
    <w:rsid w:val="000D4709"/>
    <w:rsid w:val="000D7539"/>
    <w:rsid w:val="000E07FE"/>
    <w:rsid w:val="000E2DE7"/>
    <w:rsid w:val="000E3232"/>
    <w:rsid w:val="000E3D49"/>
    <w:rsid w:val="000E4318"/>
    <w:rsid w:val="000E4F4B"/>
    <w:rsid w:val="000E56AC"/>
    <w:rsid w:val="000E5861"/>
    <w:rsid w:val="000E7959"/>
    <w:rsid w:val="000F1C7A"/>
    <w:rsid w:val="000F1D3F"/>
    <w:rsid w:val="000F24E2"/>
    <w:rsid w:val="000F4536"/>
    <w:rsid w:val="000F4539"/>
    <w:rsid w:val="000F5217"/>
    <w:rsid w:val="000F68E3"/>
    <w:rsid w:val="000F6A00"/>
    <w:rsid w:val="000F7464"/>
    <w:rsid w:val="00100DD6"/>
    <w:rsid w:val="001043CC"/>
    <w:rsid w:val="00107A8E"/>
    <w:rsid w:val="001106B3"/>
    <w:rsid w:val="0011422B"/>
    <w:rsid w:val="001146FB"/>
    <w:rsid w:val="00114AA6"/>
    <w:rsid w:val="00114DED"/>
    <w:rsid w:val="001151C3"/>
    <w:rsid w:val="00115DB5"/>
    <w:rsid w:val="001172B4"/>
    <w:rsid w:val="00120275"/>
    <w:rsid w:val="00122322"/>
    <w:rsid w:val="0012296F"/>
    <w:rsid w:val="00123C53"/>
    <w:rsid w:val="00124AE0"/>
    <w:rsid w:val="00124C62"/>
    <w:rsid w:val="00127ED4"/>
    <w:rsid w:val="00131989"/>
    <w:rsid w:val="00137CB3"/>
    <w:rsid w:val="00141849"/>
    <w:rsid w:val="001420D7"/>
    <w:rsid w:val="001436DA"/>
    <w:rsid w:val="00143AA2"/>
    <w:rsid w:val="00143E6A"/>
    <w:rsid w:val="001440EC"/>
    <w:rsid w:val="00144DCC"/>
    <w:rsid w:val="00146A1A"/>
    <w:rsid w:val="00146E28"/>
    <w:rsid w:val="00150419"/>
    <w:rsid w:val="00151660"/>
    <w:rsid w:val="001518E1"/>
    <w:rsid w:val="00151CFC"/>
    <w:rsid w:val="00153CA4"/>
    <w:rsid w:val="00154870"/>
    <w:rsid w:val="0015727C"/>
    <w:rsid w:val="001600AB"/>
    <w:rsid w:val="001620A8"/>
    <w:rsid w:val="00165CC3"/>
    <w:rsid w:val="00166171"/>
    <w:rsid w:val="0016689E"/>
    <w:rsid w:val="00166DB1"/>
    <w:rsid w:val="00167331"/>
    <w:rsid w:val="00170A07"/>
    <w:rsid w:val="00170B48"/>
    <w:rsid w:val="00170C11"/>
    <w:rsid w:val="00170D4C"/>
    <w:rsid w:val="00171132"/>
    <w:rsid w:val="00171DA6"/>
    <w:rsid w:val="001726F5"/>
    <w:rsid w:val="00174562"/>
    <w:rsid w:val="001748A8"/>
    <w:rsid w:val="00174BC5"/>
    <w:rsid w:val="00176107"/>
    <w:rsid w:val="00176937"/>
    <w:rsid w:val="00177999"/>
    <w:rsid w:val="001802ED"/>
    <w:rsid w:val="00182BFB"/>
    <w:rsid w:val="00187F31"/>
    <w:rsid w:val="00190AEE"/>
    <w:rsid w:val="00191ACF"/>
    <w:rsid w:val="00191C1A"/>
    <w:rsid w:val="001922CD"/>
    <w:rsid w:val="00192BC1"/>
    <w:rsid w:val="00194606"/>
    <w:rsid w:val="001962F0"/>
    <w:rsid w:val="0019747B"/>
    <w:rsid w:val="001A295B"/>
    <w:rsid w:val="001A4C8C"/>
    <w:rsid w:val="001A54B4"/>
    <w:rsid w:val="001A7124"/>
    <w:rsid w:val="001A7B35"/>
    <w:rsid w:val="001B1DA5"/>
    <w:rsid w:val="001B2092"/>
    <w:rsid w:val="001B337E"/>
    <w:rsid w:val="001B3BFC"/>
    <w:rsid w:val="001B664C"/>
    <w:rsid w:val="001B6EB0"/>
    <w:rsid w:val="001C14BB"/>
    <w:rsid w:val="001C2E3A"/>
    <w:rsid w:val="001C5EEC"/>
    <w:rsid w:val="001D05CD"/>
    <w:rsid w:val="001D2535"/>
    <w:rsid w:val="001D5080"/>
    <w:rsid w:val="001E2B70"/>
    <w:rsid w:val="001E32AF"/>
    <w:rsid w:val="001E4EC2"/>
    <w:rsid w:val="001E6F03"/>
    <w:rsid w:val="001E7517"/>
    <w:rsid w:val="001F020B"/>
    <w:rsid w:val="001F04C4"/>
    <w:rsid w:val="001F1F07"/>
    <w:rsid w:val="001F3098"/>
    <w:rsid w:val="001F4873"/>
    <w:rsid w:val="001F5794"/>
    <w:rsid w:val="001F66DB"/>
    <w:rsid w:val="001F755E"/>
    <w:rsid w:val="001F7BF5"/>
    <w:rsid w:val="001F7C5E"/>
    <w:rsid w:val="00201286"/>
    <w:rsid w:val="00202772"/>
    <w:rsid w:val="00203775"/>
    <w:rsid w:val="00204B7F"/>
    <w:rsid w:val="00205A54"/>
    <w:rsid w:val="002065EE"/>
    <w:rsid w:val="0020707A"/>
    <w:rsid w:val="00207476"/>
    <w:rsid w:val="002076DC"/>
    <w:rsid w:val="00213AC8"/>
    <w:rsid w:val="00215422"/>
    <w:rsid w:val="002154C1"/>
    <w:rsid w:val="00217019"/>
    <w:rsid w:val="00220AA2"/>
    <w:rsid w:val="00220C49"/>
    <w:rsid w:val="00220E15"/>
    <w:rsid w:val="00221542"/>
    <w:rsid w:val="00221732"/>
    <w:rsid w:val="00221EF1"/>
    <w:rsid w:val="00222002"/>
    <w:rsid w:val="002222F5"/>
    <w:rsid w:val="00222452"/>
    <w:rsid w:val="00222B0A"/>
    <w:rsid w:val="00223212"/>
    <w:rsid w:val="00231E40"/>
    <w:rsid w:val="002325FB"/>
    <w:rsid w:val="0023264D"/>
    <w:rsid w:val="0023270B"/>
    <w:rsid w:val="00236CF1"/>
    <w:rsid w:val="002371BA"/>
    <w:rsid w:val="00240932"/>
    <w:rsid w:val="002417A5"/>
    <w:rsid w:val="002418E0"/>
    <w:rsid w:val="00242177"/>
    <w:rsid w:val="002429FE"/>
    <w:rsid w:val="002435D0"/>
    <w:rsid w:val="00243719"/>
    <w:rsid w:val="00246A2F"/>
    <w:rsid w:val="00246AF1"/>
    <w:rsid w:val="00247331"/>
    <w:rsid w:val="002473BB"/>
    <w:rsid w:val="0025276D"/>
    <w:rsid w:val="002527B9"/>
    <w:rsid w:val="00255245"/>
    <w:rsid w:val="00255D25"/>
    <w:rsid w:val="00255E5F"/>
    <w:rsid w:val="0025770F"/>
    <w:rsid w:val="0026002E"/>
    <w:rsid w:val="0026097D"/>
    <w:rsid w:val="00262C0E"/>
    <w:rsid w:val="00264C9B"/>
    <w:rsid w:val="00266498"/>
    <w:rsid w:val="00271177"/>
    <w:rsid w:val="00271A6E"/>
    <w:rsid w:val="002720B3"/>
    <w:rsid w:val="002733D4"/>
    <w:rsid w:val="002754CF"/>
    <w:rsid w:val="00276081"/>
    <w:rsid w:val="002770C3"/>
    <w:rsid w:val="00284205"/>
    <w:rsid w:val="00284666"/>
    <w:rsid w:val="002875AA"/>
    <w:rsid w:val="00290F36"/>
    <w:rsid w:val="00291953"/>
    <w:rsid w:val="00291A71"/>
    <w:rsid w:val="0029297B"/>
    <w:rsid w:val="00292AEC"/>
    <w:rsid w:val="00294000"/>
    <w:rsid w:val="00295D03"/>
    <w:rsid w:val="00296D53"/>
    <w:rsid w:val="00297DAE"/>
    <w:rsid w:val="002A035B"/>
    <w:rsid w:val="002A05AA"/>
    <w:rsid w:val="002A05EC"/>
    <w:rsid w:val="002A5454"/>
    <w:rsid w:val="002A71AA"/>
    <w:rsid w:val="002B077D"/>
    <w:rsid w:val="002B1D81"/>
    <w:rsid w:val="002B3D34"/>
    <w:rsid w:val="002B405F"/>
    <w:rsid w:val="002B4275"/>
    <w:rsid w:val="002B4CAE"/>
    <w:rsid w:val="002B580D"/>
    <w:rsid w:val="002B79C9"/>
    <w:rsid w:val="002C3742"/>
    <w:rsid w:val="002C471B"/>
    <w:rsid w:val="002C4AD4"/>
    <w:rsid w:val="002C612D"/>
    <w:rsid w:val="002C6B44"/>
    <w:rsid w:val="002C6D69"/>
    <w:rsid w:val="002D0DB3"/>
    <w:rsid w:val="002D0FC7"/>
    <w:rsid w:val="002D1FD6"/>
    <w:rsid w:val="002D221E"/>
    <w:rsid w:val="002D2D95"/>
    <w:rsid w:val="002D46A8"/>
    <w:rsid w:val="002D4DDF"/>
    <w:rsid w:val="002D6427"/>
    <w:rsid w:val="002D749E"/>
    <w:rsid w:val="002E1906"/>
    <w:rsid w:val="002E2ABB"/>
    <w:rsid w:val="002E322E"/>
    <w:rsid w:val="002E3988"/>
    <w:rsid w:val="002E5751"/>
    <w:rsid w:val="002E7F3D"/>
    <w:rsid w:val="002F0438"/>
    <w:rsid w:val="002F1F8B"/>
    <w:rsid w:val="002F4D23"/>
    <w:rsid w:val="002F5C2D"/>
    <w:rsid w:val="002F5E3B"/>
    <w:rsid w:val="002F7173"/>
    <w:rsid w:val="00300363"/>
    <w:rsid w:val="003011A6"/>
    <w:rsid w:val="003024C5"/>
    <w:rsid w:val="0030382A"/>
    <w:rsid w:val="00304387"/>
    <w:rsid w:val="003053C3"/>
    <w:rsid w:val="00310446"/>
    <w:rsid w:val="0031181C"/>
    <w:rsid w:val="00311A72"/>
    <w:rsid w:val="0031543A"/>
    <w:rsid w:val="003221DD"/>
    <w:rsid w:val="003229E1"/>
    <w:rsid w:val="00323BCC"/>
    <w:rsid w:val="0032567A"/>
    <w:rsid w:val="00325BBB"/>
    <w:rsid w:val="00332713"/>
    <w:rsid w:val="003329F7"/>
    <w:rsid w:val="003340D3"/>
    <w:rsid w:val="003341BC"/>
    <w:rsid w:val="00335387"/>
    <w:rsid w:val="0033550A"/>
    <w:rsid w:val="00337495"/>
    <w:rsid w:val="003414FB"/>
    <w:rsid w:val="00343A64"/>
    <w:rsid w:val="003458F4"/>
    <w:rsid w:val="003479AC"/>
    <w:rsid w:val="0035002F"/>
    <w:rsid w:val="00350D2C"/>
    <w:rsid w:val="0035264A"/>
    <w:rsid w:val="00356072"/>
    <w:rsid w:val="003613B9"/>
    <w:rsid w:val="003629E3"/>
    <w:rsid w:val="00362DC6"/>
    <w:rsid w:val="00362E72"/>
    <w:rsid w:val="00363129"/>
    <w:rsid w:val="003714A0"/>
    <w:rsid w:val="003736B4"/>
    <w:rsid w:val="003749C6"/>
    <w:rsid w:val="00374D69"/>
    <w:rsid w:val="0037558E"/>
    <w:rsid w:val="003816C8"/>
    <w:rsid w:val="003829A5"/>
    <w:rsid w:val="00382D20"/>
    <w:rsid w:val="00383A1B"/>
    <w:rsid w:val="00384020"/>
    <w:rsid w:val="003877BA"/>
    <w:rsid w:val="00387AC0"/>
    <w:rsid w:val="00390645"/>
    <w:rsid w:val="00390E4A"/>
    <w:rsid w:val="00393A6E"/>
    <w:rsid w:val="00396E16"/>
    <w:rsid w:val="00397000"/>
    <w:rsid w:val="00397CE7"/>
    <w:rsid w:val="003A03EE"/>
    <w:rsid w:val="003A2E1C"/>
    <w:rsid w:val="003A4458"/>
    <w:rsid w:val="003A4D04"/>
    <w:rsid w:val="003A676E"/>
    <w:rsid w:val="003A7062"/>
    <w:rsid w:val="003B012C"/>
    <w:rsid w:val="003B08BC"/>
    <w:rsid w:val="003B0CCF"/>
    <w:rsid w:val="003B1614"/>
    <w:rsid w:val="003B17A2"/>
    <w:rsid w:val="003B202C"/>
    <w:rsid w:val="003C03B3"/>
    <w:rsid w:val="003C3992"/>
    <w:rsid w:val="003C42B0"/>
    <w:rsid w:val="003C6B1E"/>
    <w:rsid w:val="003C708A"/>
    <w:rsid w:val="003D1D18"/>
    <w:rsid w:val="003D377F"/>
    <w:rsid w:val="003D6509"/>
    <w:rsid w:val="003D7C3A"/>
    <w:rsid w:val="003E2DD5"/>
    <w:rsid w:val="003E397D"/>
    <w:rsid w:val="003E66A4"/>
    <w:rsid w:val="003F0514"/>
    <w:rsid w:val="003F10F0"/>
    <w:rsid w:val="003F233B"/>
    <w:rsid w:val="003F3E1A"/>
    <w:rsid w:val="003F41AE"/>
    <w:rsid w:val="003F54A9"/>
    <w:rsid w:val="003F5C37"/>
    <w:rsid w:val="004028D4"/>
    <w:rsid w:val="00403797"/>
    <w:rsid w:val="00403BA8"/>
    <w:rsid w:val="00403D81"/>
    <w:rsid w:val="00403DCF"/>
    <w:rsid w:val="004059A1"/>
    <w:rsid w:val="00405CDC"/>
    <w:rsid w:val="004100EB"/>
    <w:rsid w:val="0041113E"/>
    <w:rsid w:val="004114FB"/>
    <w:rsid w:val="0041379D"/>
    <w:rsid w:val="004170C1"/>
    <w:rsid w:val="00417224"/>
    <w:rsid w:val="00420D86"/>
    <w:rsid w:val="0042374E"/>
    <w:rsid w:val="004243E5"/>
    <w:rsid w:val="0042475E"/>
    <w:rsid w:val="00427409"/>
    <w:rsid w:val="004314A8"/>
    <w:rsid w:val="00431EF3"/>
    <w:rsid w:val="004322E2"/>
    <w:rsid w:val="004328F8"/>
    <w:rsid w:val="00435E4F"/>
    <w:rsid w:val="0043629F"/>
    <w:rsid w:val="004365D0"/>
    <w:rsid w:val="00437FFD"/>
    <w:rsid w:val="00440B80"/>
    <w:rsid w:val="00441A80"/>
    <w:rsid w:val="00443561"/>
    <w:rsid w:val="00446523"/>
    <w:rsid w:val="00446D8B"/>
    <w:rsid w:val="00447BED"/>
    <w:rsid w:val="00450848"/>
    <w:rsid w:val="004520D2"/>
    <w:rsid w:val="00454D6A"/>
    <w:rsid w:val="004556D6"/>
    <w:rsid w:val="0045596B"/>
    <w:rsid w:val="004571D0"/>
    <w:rsid w:val="004615EC"/>
    <w:rsid w:val="004627E2"/>
    <w:rsid w:val="0046790C"/>
    <w:rsid w:val="004708CC"/>
    <w:rsid w:val="00472AF3"/>
    <w:rsid w:val="0047376D"/>
    <w:rsid w:val="0047497E"/>
    <w:rsid w:val="00474E44"/>
    <w:rsid w:val="00475478"/>
    <w:rsid w:val="0047672B"/>
    <w:rsid w:val="00476F26"/>
    <w:rsid w:val="004813CE"/>
    <w:rsid w:val="00481590"/>
    <w:rsid w:val="00481DD3"/>
    <w:rsid w:val="004840EC"/>
    <w:rsid w:val="0048454E"/>
    <w:rsid w:val="0048751D"/>
    <w:rsid w:val="004878DF"/>
    <w:rsid w:val="004905D2"/>
    <w:rsid w:val="00490709"/>
    <w:rsid w:val="004925D4"/>
    <w:rsid w:val="00492607"/>
    <w:rsid w:val="004948D2"/>
    <w:rsid w:val="004952E9"/>
    <w:rsid w:val="004A00A3"/>
    <w:rsid w:val="004A0B22"/>
    <w:rsid w:val="004A2194"/>
    <w:rsid w:val="004A353E"/>
    <w:rsid w:val="004B161B"/>
    <w:rsid w:val="004B2E21"/>
    <w:rsid w:val="004B464D"/>
    <w:rsid w:val="004B6BEA"/>
    <w:rsid w:val="004B6CBA"/>
    <w:rsid w:val="004C17D5"/>
    <w:rsid w:val="004C2EEF"/>
    <w:rsid w:val="004C3DED"/>
    <w:rsid w:val="004C4039"/>
    <w:rsid w:val="004C6024"/>
    <w:rsid w:val="004C6049"/>
    <w:rsid w:val="004C7490"/>
    <w:rsid w:val="004D176C"/>
    <w:rsid w:val="004D58D2"/>
    <w:rsid w:val="004D5FD5"/>
    <w:rsid w:val="004D695D"/>
    <w:rsid w:val="004E26BA"/>
    <w:rsid w:val="004E307A"/>
    <w:rsid w:val="004E3E36"/>
    <w:rsid w:val="004E42BE"/>
    <w:rsid w:val="004E557C"/>
    <w:rsid w:val="004E5C22"/>
    <w:rsid w:val="004E68A9"/>
    <w:rsid w:val="004F0B3D"/>
    <w:rsid w:val="004F0F4B"/>
    <w:rsid w:val="004F16F6"/>
    <w:rsid w:val="004F1DA5"/>
    <w:rsid w:val="004F5973"/>
    <w:rsid w:val="004F6919"/>
    <w:rsid w:val="004F6FFC"/>
    <w:rsid w:val="004F7CBC"/>
    <w:rsid w:val="00500718"/>
    <w:rsid w:val="005016FE"/>
    <w:rsid w:val="00503BEA"/>
    <w:rsid w:val="005047A1"/>
    <w:rsid w:val="00504F21"/>
    <w:rsid w:val="00514CED"/>
    <w:rsid w:val="0051597B"/>
    <w:rsid w:val="00520A38"/>
    <w:rsid w:val="00520A59"/>
    <w:rsid w:val="005222C2"/>
    <w:rsid w:val="00522F09"/>
    <w:rsid w:val="005245E9"/>
    <w:rsid w:val="00526AED"/>
    <w:rsid w:val="00527FB8"/>
    <w:rsid w:val="0053098C"/>
    <w:rsid w:val="005309E2"/>
    <w:rsid w:val="00530A09"/>
    <w:rsid w:val="005310AF"/>
    <w:rsid w:val="00532DA2"/>
    <w:rsid w:val="00532F7B"/>
    <w:rsid w:val="005343F0"/>
    <w:rsid w:val="00534DD1"/>
    <w:rsid w:val="00535D9F"/>
    <w:rsid w:val="00536601"/>
    <w:rsid w:val="00540207"/>
    <w:rsid w:val="00540522"/>
    <w:rsid w:val="005423E7"/>
    <w:rsid w:val="00543039"/>
    <w:rsid w:val="00547751"/>
    <w:rsid w:val="00550396"/>
    <w:rsid w:val="00554FB9"/>
    <w:rsid w:val="00555A4A"/>
    <w:rsid w:val="0055766D"/>
    <w:rsid w:val="00562C73"/>
    <w:rsid w:val="005644A3"/>
    <w:rsid w:val="00565BD3"/>
    <w:rsid w:val="00571F86"/>
    <w:rsid w:val="00572773"/>
    <w:rsid w:val="00572896"/>
    <w:rsid w:val="00573127"/>
    <w:rsid w:val="0057359F"/>
    <w:rsid w:val="00574FB9"/>
    <w:rsid w:val="00576CFC"/>
    <w:rsid w:val="00577581"/>
    <w:rsid w:val="00581500"/>
    <w:rsid w:val="005821EC"/>
    <w:rsid w:val="00585830"/>
    <w:rsid w:val="005869AC"/>
    <w:rsid w:val="0059003D"/>
    <w:rsid w:val="00591915"/>
    <w:rsid w:val="0059216B"/>
    <w:rsid w:val="00593127"/>
    <w:rsid w:val="00593BB2"/>
    <w:rsid w:val="00593E50"/>
    <w:rsid w:val="00593F1A"/>
    <w:rsid w:val="00594851"/>
    <w:rsid w:val="00597347"/>
    <w:rsid w:val="005A008C"/>
    <w:rsid w:val="005A0621"/>
    <w:rsid w:val="005A22B7"/>
    <w:rsid w:val="005A62E0"/>
    <w:rsid w:val="005A7261"/>
    <w:rsid w:val="005A73B4"/>
    <w:rsid w:val="005B0050"/>
    <w:rsid w:val="005B1E1B"/>
    <w:rsid w:val="005B259F"/>
    <w:rsid w:val="005B3383"/>
    <w:rsid w:val="005B3E52"/>
    <w:rsid w:val="005B4304"/>
    <w:rsid w:val="005B4822"/>
    <w:rsid w:val="005B4C6F"/>
    <w:rsid w:val="005B76B5"/>
    <w:rsid w:val="005B7B4A"/>
    <w:rsid w:val="005C0151"/>
    <w:rsid w:val="005C29EB"/>
    <w:rsid w:val="005C3B35"/>
    <w:rsid w:val="005C515B"/>
    <w:rsid w:val="005C58B8"/>
    <w:rsid w:val="005C6BE1"/>
    <w:rsid w:val="005C7603"/>
    <w:rsid w:val="005D02F1"/>
    <w:rsid w:val="005D07F4"/>
    <w:rsid w:val="005D0979"/>
    <w:rsid w:val="005D1CF6"/>
    <w:rsid w:val="005D3E9B"/>
    <w:rsid w:val="005D3F21"/>
    <w:rsid w:val="005D3FE2"/>
    <w:rsid w:val="005D50D6"/>
    <w:rsid w:val="005D55D8"/>
    <w:rsid w:val="005D5908"/>
    <w:rsid w:val="005E0F53"/>
    <w:rsid w:val="005E3D74"/>
    <w:rsid w:val="005E3FD9"/>
    <w:rsid w:val="005E528B"/>
    <w:rsid w:val="005F0991"/>
    <w:rsid w:val="005F389A"/>
    <w:rsid w:val="005F6359"/>
    <w:rsid w:val="005F6FDF"/>
    <w:rsid w:val="0060356A"/>
    <w:rsid w:val="006062AB"/>
    <w:rsid w:val="00611E77"/>
    <w:rsid w:val="0061365E"/>
    <w:rsid w:val="00613A39"/>
    <w:rsid w:val="00616842"/>
    <w:rsid w:val="00620CC4"/>
    <w:rsid w:val="006218B9"/>
    <w:rsid w:val="006259B7"/>
    <w:rsid w:val="00626B04"/>
    <w:rsid w:val="006323B9"/>
    <w:rsid w:val="00632945"/>
    <w:rsid w:val="00633482"/>
    <w:rsid w:val="006339EF"/>
    <w:rsid w:val="006340AC"/>
    <w:rsid w:val="006343BF"/>
    <w:rsid w:val="00635183"/>
    <w:rsid w:val="00636579"/>
    <w:rsid w:val="00636E21"/>
    <w:rsid w:val="00643B74"/>
    <w:rsid w:val="0064452F"/>
    <w:rsid w:val="006445B4"/>
    <w:rsid w:val="00644669"/>
    <w:rsid w:val="00646128"/>
    <w:rsid w:val="00647981"/>
    <w:rsid w:val="0065088E"/>
    <w:rsid w:val="00651A1D"/>
    <w:rsid w:val="00651CE0"/>
    <w:rsid w:val="00652896"/>
    <w:rsid w:val="0065299F"/>
    <w:rsid w:val="00652A6F"/>
    <w:rsid w:val="00652B6D"/>
    <w:rsid w:val="006556D2"/>
    <w:rsid w:val="006571FD"/>
    <w:rsid w:val="00660F11"/>
    <w:rsid w:val="00661E76"/>
    <w:rsid w:val="0066346D"/>
    <w:rsid w:val="00663826"/>
    <w:rsid w:val="00664D74"/>
    <w:rsid w:val="00666276"/>
    <w:rsid w:val="006679E5"/>
    <w:rsid w:val="00670012"/>
    <w:rsid w:val="0067270E"/>
    <w:rsid w:val="00672874"/>
    <w:rsid w:val="00673ADB"/>
    <w:rsid w:val="0067707E"/>
    <w:rsid w:val="00680EA4"/>
    <w:rsid w:val="00682840"/>
    <w:rsid w:val="006829C1"/>
    <w:rsid w:val="00682D40"/>
    <w:rsid w:val="006835B2"/>
    <w:rsid w:val="006848A4"/>
    <w:rsid w:val="00690DB5"/>
    <w:rsid w:val="006910CE"/>
    <w:rsid w:val="006938DE"/>
    <w:rsid w:val="00693F18"/>
    <w:rsid w:val="00695E3A"/>
    <w:rsid w:val="0069643B"/>
    <w:rsid w:val="006974BE"/>
    <w:rsid w:val="00697BCB"/>
    <w:rsid w:val="006A09E4"/>
    <w:rsid w:val="006A23A0"/>
    <w:rsid w:val="006A536C"/>
    <w:rsid w:val="006A7205"/>
    <w:rsid w:val="006A7A25"/>
    <w:rsid w:val="006B0B06"/>
    <w:rsid w:val="006B140C"/>
    <w:rsid w:val="006B1607"/>
    <w:rsid w:val="006B1925"/>
    <w:rsid w:val="006B1BB7"/>
    <w:rsid w:val="006B261C"/>
    <w:rsid w:val="006B321A"/>
    <w:rsid w:val="006B4A94"/>
    <w:rsid w:val="006B529F"/>
    <w:rsid w:val="006B544D"/>
    <w:rsid w:val="006B566B"/>
    <w:rsid w:val="006C1A6E"/>
    <w:rsid w:val="006C1F48"/>
    <w:rsid w:val="006C277A"/>
    <w:rsid w:val="006C3EAA"/>
    <w:rsid w:val="006C4973"/>
    <w:rsid w:val="006C6542"/>
    <w:rsid w:val="006D01E9"/>
    <w:rsid w:val="006D264B"/>
    <w:rsid w:val="006D36DE"/>
    <w:rsid w:val="006D47A0"/>
    <w:rsid w:val="006D4F34"/>
    <w:rsid w:val="006E1370"/>
    <w:rsid w:val="006E38AE"/>
    <w:rsid w:val="006E4C64"/>
    <w:rsid w:val="006E5BBF"/>
    <w:rsid w:val="006E78C4"/>
    <w:rsid w:val="006E7B84"/>
    <w:rsid w:val="006E7CCA"/>
    <w:rsid w:val="006F0A6C"/>
    <w:rsid w:val="006F0A98"/>
    <w:rsid w:val="006F1C2C"/>
    <w:rsid w:val="006F2AFF"/>
    <w:rsid w:val="006F64F2"/>
    <w:rsid w:val="006F6BAF"/>
    <w:rsid w:val="006F76D3"/>
    <w:rsid w:val="006F7950"/>
    <w:rsid w:val="00702387"/>
    <w:rsid w:val="0070409D"/>
    <w:rsid w:val="00706957"/>
    <w:rsid w:val="00707FDE"/>
    <w:rsid w:val="007151AF"/>
    <w:rsid w:val="00715836"/>
    <w:rsid w:val="00715E9F"/>
    <w:rsid w:val="0071689B"/>
    <w:rsid w:val="007200DB"/>
    <w:rsid w:val="00720302"/>
    <w:rsid w:val="007205D1"/>
    <w:rsid w:val="00724722"/>
    <w:rsid w:val="00724918"/>
    <w:rsid w:val="007262A1"/>
    <w:rsid w:val="00730D74"/>
    <w:rsid w:val="00731017"/>
    <w:rsid w:val="007312A9"/>
    <w:rsid w:val="00736BCF"/>
    <w:rsid w:val="00737950"/>
    <w:rsid w:val="007423F9"/>
    <w:rsid w:val="007426A4"/>
    <w:rsid w:val="00742C79"/>
    <w:rsid w:val="00742D76"/>
    <w:rsid w:val="007430BA"/>
    <w:rsid w:val="0074313F"/>
    <w:rsid w:val="00743CE1"/>
    <w:rsid w:val="007473EE"/>
    <w:rsid w:val="00747B9B"/>
    <w:rsid w:val="007504B1"/>
    <w:rsid w:val="0075177B"/>
    <w:rsid w:val="00752E47"/>
    <w:rsid w:val="00753032"/>
    <w:rsid w:val="00753CA8"/>
    <w:rsid w:val="0075520E"/>
    <w:rsid w:val="00755395"/>
    <w:rsid w:val="00755531"/>
    <w:rsid w:val="00755D38"/>
    <w:rsid w:val="00757000"/>
    <w:rsid w:val="00760C12"/>
    <w:rsid w:val="007618A5"/>
    <w:rsid w:val="00761E19"/>
    <w:rsid w:val="007626AF"/>
    <w:rsid w:val="007640B2"/>
    <w:rsid w:val="00764ADD"/>
    <w:rsid w:val="00764B23"/>
    <w:rsid w:val="0076642A"/>
    <w:rsid w:val="007674D4"/>
    <w:rsid w:val="007700F9"/>
    <w:rsid w:val="00770171"/>
    <w:rsid w:val="007706B6"/>
    <w:rsid w:val="0077163A"/>
    <w:rsid w:val="00772055"/>
    <w:rsid w:val="0077242E"/>
    <w:rsid w:val="007741FC"/>
    <w:rsid w:val="00776772"/>
    <w:rsid w:val="007767A4"/>
    <w:rsid w:val="00776D0B"/>
    <w:rsid w:val="007806BF"/>
    <w:rsid w:val="0078364B"/>
    <w:rsid w:val="0078466D"/>
    <w:rsid w:val="007867BE"/>
    <w:rsid w:val="00787318"/>
    <w:rsid w:val="0078753B"/>
    <w:rsid w:val="00787871"/>
    <w:rsid w:val="007921F7"/>
    <w:rsid w:val="0079226D"/>
    <w:rsid w:val="00792FD0"/>
    <w:rsid w:val="00793AA1"/>
    <w:rsid w:val="007952ED"/>
    <w:rsid w:val="007969AB"/>
    <w:rsid w:val="00796BB6"/>
    <w:rsid w:val="00797444"/>
    <w:rsid w:val="00797CD4"/>
    <w:rsid w:val="007A00C7"/>
    <w:rsid w:val="007A324B"/>
    <w:rsid w:val="007A7DD8"/>
    <w:rsid w:val="007B0655"/>
    <w:rsid w:val="007B0BB1"/>
    <w:rsid w:val="007B2930"/>
    <w:rsid w:val="007B588A"/>
    <w:rsid w:val="007C0139"/>
    <w:rsid w:val="007C1966"/>
    <w:rsid w:val="007C385D"/>
    <w:rsid w:val="007C7062"/>
    <w:rsid w:val="007D0AE6"/>
    <w:rsid w:val="007D1CE9"/>
    <w:rsid w:val="007D1D12"/>
    <w:rsid w:val="007D2306"/>
    <w:rsid w:val="007D26AD"/>
    <w:rsid w:val="007D4653"/>
    <w:rsid w:val="007D4D30"/>
    <w:rsid w:val="007D5CBA"/>
    <w:rsid w:val="007E4701"/>
    <w:rsid w:val="007E6BA9"/>
    <w:rsid w:val="007E7E0E"/>
    <w:rsid w:val="007F01A2"/>
    <w:rsid w:val="007F0E23"/>
    <w:rsid w:val="007F12F3"/>
    <w:rsid w:val="007F155F"/>
    <w:rsid w:val="007F1CDB"/>
    <w:rsid w:val="007F5D87"/>
    <w:rsid w:val="00800E4A"/>
    <w:rsid w:val="008026CF"/>
    <w:rsid w:val="008056C0"/>
    <w:rsid w:val="00806F6B"/>
    <w:rsid w:val="00812668"/>
    <w:rsid w:val="00812AD0"/>
    <w:rsid w:val="0081618E"/>
    <w:rsid w:val="00816694"/>
    <w:rsid w:val="00821C5F"/>
    <w:rsid w:val="0082217D"/>
    <w:rsid w:val="00822D25"/>
    <w:rsid w:val="008240DF"/>
    <w:rsid w:val="008278B3"/>
    <w:rsid w:val="0083068F"/>
    <w:rsid w:val="00832067"/>
    <w:rsid w:val="008328FF"/>
    <w:rsid w:val="00832D55"/>
    <w:rsid w:val="0083354F"/>
    <w:rsid w:val="00833CB6"/>
    <w:rsid w:val="0083519F"/>
    <w:rsid w:val="008375FA"/>
    <w:rsid w:val="008414B8"/>
    <w:rsid w:val="00842B15"/>
    <w:rsid w:val="0084358C"/>
    <w:rsid w:val="008439C7"/>
    <w:rsid w:val="008441CB"/>
    <w:rsid w:val="00844F2E"/>
    <w:rsid w:val="00845A7E"/>
    <w:rsid w:val="008475E7"/>
    <w:rsid w:val="00847BA3"/>
    <w:rsid w:val="00851E9B"/>
    <w:rsid w:val="00852D9A"/>
    <w:rsid w:val="00853541"/>
    <w:rsid w:val="008536FB"/>
    <w:rsid w:val="008537DB"/>
    <w:rsid w:val="00855587"/>
    <w:rsid w:val="00856CFD"/>
    <w:rsid w:val="0086068A"/>
    <w:rsid w:val="008606B0"/>
    <w:rsid w:val="008627FC"/>
    <w:rsid w:val="00863E88"/>
    <w:rsid w:val="00863EBE"/>
    <w:rsid w:val="008644C1"/>
    <w:rsid w:val="00865632"/>
    <w:rsid w:val="00872340"/>
    <w:rsid w:val="00872986"/>
    <w:rsid w:val="008729A3"/>
    <w:rsid w:val="00874D9E"/>
    <w:rsid w:val="00876142"/>
    <w:rsid w:val="00876671"/>
    <w:rsid w:val="00876B4D"/>
    <w:rsid w:val="00880D95"/>
    <w:rsid w:val="008842F1"/>
    <w:rsid w:val="0088489A"/>
    <w:rsid w:val="008851F2"/>
    <w:rsid w:val="00885B94"/>
    <w:rsid w:val="00890939"/>
    <w:rsid w:val="0089120A"/>
    <w:rsid w:val="008917A0"/>
    <w:rsid w:val="00891CC8"/>
    <w:rsid w:val="0089477B"/>
    <w:rsid w:val="008952CC"/>
    <w:rsid w:val="0089533B"/>
    <w:rsid w:val="008960C6"/>
    <w:rsid w:val="00896462"/>
    <w:rsid w:val="00896B7E"/>
    <w:rsid w:val="008A1636"/>
    <w:rsid w:val="008A17AA"/>
    <w:rsid w:val="008A1AB7"/>
    <w:rsid w:val="008A3CAD"/>
    <w:rsid w:val="008A5B19"/>
    <w:rsid w:val="008A6375"/>
    <w:rsid w:val="008B03C7"/>
    <w:rsid w:val="008B064C"/>
    <w:rsid w:val="008B32F2"/>
    <w:rsid w:val="008B6421"/>
    <w:rsid w:val="008C25EB"/>
    <w:rsid w:val="008C7B1C"/>
    <w:rsid w:val="008C7B80"/>
    <w:rsid w:val="008D3A4B"/>
    <w:rsid w:val="008D5D05"/>
    <w:rsid w:val="008D622E"/>
    <w:rsid w:val="008E0B18"/>
    <w:rsid w:val="008E237E"/>
    <w:rsid w:val="008E627A"/>
    <w:rsid w:val="008F40DC"/>
    <w:rsid w:val="008F41F5"/>
    <w:rsid w:val="008F6A3A"/>
    <w:rsid w:val="008F7974"/>
    <w:rsid w:val="00900A9A"/>
    <w:rsid w:val="00900B0F"/>
    <w:rsid w:val="00901363"/>
    <w:rsid w:val="00901EC3"/>
    <w:rsid w:val="0090586C"/>
    <w:rsid w:val="00907083"/>
    <w:rsid w:val="0091047F"/>
    <w:rsid w:val="0091105F"/>
    <w:rsid w:val="0091228A"/>
    <w:rsid w:val="00913867"/>
    <w:rsid w:val="009165F3"/>
    <w:rsid w:val="00916BF0"/>
    <w:rsid w:val="0091769C"/>
    <w:rsid w:val="0092080E"/>
    <w:rsid w:val="0092122C"/>
    <w:rsid w:val="00922D76"/>
    <w:rsid w:val="009339A7"/>
    <w:rsid w:val="00935E0E"/>
    <w:rsid w:val="00937763"/>
    <w:rsid w:val="00940003"/>
    <w:rsid w:val="00941318"/>
    <w:rsid w:val="0094142A"/>
    <w:rsid w:val="00941504"/>
    <w:rsid w:val="00941B87"/>
    <w:rsid w:val="00941BEE"/>
    <w:rsid w:val="009422AF"/>
    <w:rsid w:val="0094259C"/>
    <w:rsid w:val="00944940"/>
    <w:rsid w:val="009453B4"/>
    <w:rsid w:val="009506D3"/>
    <w:rsid w:val="0095109E"/>
    <w:rsid w:val="00952B5A"/>
    <w:rsid w:val="00952D39"/>
    <w:rsid w:val="00955293"/>
    <w:rsid w:val="009556CF"/>
    <w:rsid w:val="009556E4"/>
    <w:rsid w:val="00957C2D"/>
    <w:rsid w:val="00961E43"/>
    <w:rsid w:val="00962F54"/>
    <w:rsid w:val="00970C90"/>
    <w:rsid w:val="00974984"/>
    <w:rsid w:val="00974F9C"/>
    <w:rsid w:val="00977C54"/>
    <w:rsid w:val="009800E5"/>
    <w:rsid w:val="00983EA7"/>
    <w:rsid w:val="00984144"/>
    <w:rsid w:val="00984DC4"/>
    <w:rsid w:val="00984F35"/>
    <w:rsid w:val="00984FB6"/>
    <w:rsid w:val="0098581D"/>
    <w:rsid w:val="00986BBD"/>
    <w:rsid w:val="00990945"/>
    <w:rsid w:val="0099218F"/>
    <w:rsid w:val="00996E5C"/>
    <w:rsid w:val="00997B54"/>
    <w:rsid w:val="009A1A4D"/>
    <w:rsid w:val="009A27CC"/>
    <w:rsid w:val="009A3D77"/>
    <w:rsid w:val="009A41C2"/>
    <w:rsid w:val="009A7E9D"/>
    <w:rsid w:val="009B069E"/>
    <w:rsid w:val="009B0F24"/>
    <w:rsid w:val="009B3B00"/>
    <w:rsid w:val="009B458B"/>
    <w:rsid w:val="009B645D"/>
    <w:rsid w:val="009B79EE"/>
    <w:rsid w:val="009C0330"/>
    <w:rsid w:val="009C0378"/>
    <w:rsid w:val="009C48BB"/>
    <w:rsid w:val="009C5866"/>
    <w:rsid w:val="009C6996"/>
    <w:rsid w:val="009D0CD6"/>
    <w:rsid w:val="009D41B8"/>
    <w:rsid w:val="009D6BCE"/>
    <w:rsid w:val="009D7CD5"/>
    <w:rsid w:val="009D7D36"/>
    <w:rsid w:val="009E1408"/>
    <w:rsid w:val="009E287D"/>
    <w:rsid w:val="009E4540"/>
    <w:rsid w:val="009E4C1D"/>
    <w:rsid w:val="009E504A"/>
    <w:rsid w:val="009F0CE8"/>
    <w:rsid w:val="009F2D44"/>
    <w:rsid w:val="009F3726"/>
    <w:rsid w:val="009F3EF5"/>
    <w:rsid w:val="00A001FD"/>
    <w:rsid w:val="00A0184D"/>
    <w:rsid w:val="00A03A7C"/>
    <w:rsid w:val="00A05055"/>
    <w:rsid w:val="00A05CB0"/>
    <w:rsid w:val="00A074FC"/>
    <w:rsid w:val="00A07D1D"/>
    <w:rsid w:val="00A10094"/>
    <w:rsid w:val="00A11C45"/>
    <w:rsid w:val="00A170C2"/>
    <w:rsid w:val="00A17F7D"/>
    <w:rsid w:val="00A25161"/>
    <w:rsid w:val="00A26AB4"/>
    <w:rsid w:val="00A27A1E"/>
    <w:rsid w:val="00A306A3"/>
    <w:rsid w:val="00A3082D"/>
    <w:rsid w:val="00A323E9"/>
    <w:rsid w:val="00A32879"/>
    <w:rsid w:val="00A335CE"/>
    <w:rsid w:val="00A33E0F"/>
    <w:rsid w:val="00A34130"/>
    <w:rsid w:val="00A34516"/>
    <w:rsid w:val="00A40B48"/>
    <w:rsid w:val="00A43341"/>
    <w:rsid w:val="00A43CBC"/>
    <w:rsid w:val="00A44A1B"/>
    <w:rsid w:val="00A45545"/>
    <w:rsid w:val="00A504FB"/>
    <w:rsid w:val="00A5057D"/>
    <w:rsid w:val="00A51082"/>
    <w:rsid w:val="00A52BC6"/>
    <w:rsid w:val="00A530F3"/>
    <w:rsid w:val="00A55C48"/>
    <w:rsid w:val="00A57B0E"/>
    <w:rsid w:val="00A60DCD"/>
    <w:rsid w:val="00A64C94"/>
    <w:rsid w:val="00A64F11"/>
    <w:rsid w:val="00A70B20"/>
    <w:rsid w:val="00A70B5C"/>
    <w:rsid w:val="00A70D5F"/>
    <w:rsid w:val="00A70ECD"/>
    <w:rsid w:val="00A712C3"/>
    <w:rsid w:val="00A72DDF"/>
    <w:rsid w:val="00A755E7"/>
    <w:rsid w:val="00A76F3C"/>
    <w:rsid w:val="00A7748B"/>
    <w:rsid w:val="00A776A0"/>
    <w:rsid w:val="00A80BF2"/>
    <w:rsid w:val="00A81811"/>
    <w:rsid w:val="00A86B7F"/>
    <w:rsid w:val="00A875B8"/>
    <w:rsid w:val="00A87BE0"/>
    <w:rsid w:val="00A87D54"/>
    <w:rsid w:val="00A9049A"/>
    <w:rsid w:val="00A912C3"/>
    <w:rsid w:val="00A9420B"/>
    <w:rsid w:val="00A94582"/>
    <w:rsid w:val="00A94B9A"/>
    <w:rsid w:val="00A96BE3"/>
    <w:rsid w:val="00A97158"/>
    <w:rsid w:val="00A97C6D"/>
    <w:rsid w:val="00AA1FD6"/>
    <w:rsid w:val="00AA2381"/>
    <w:rsid w:val="00AA2DAB"/>
    <w:rsid w:val="00AA3656"/>
    <w:rsid w:val="00AA4992"/>
    <w:rsid w:val="00AA6E06"/>
    <w:rsid w:val="00AA7816"/>
    <w:rsid w:val="00AA7F65"/>
    <w:rsid w:val="00AB2C54"/>
    <w:rsid w:val="00AB3A6B"/>
    <w:rsid w:val="00AC0E64"/>
    <w:rsid w:val="00AC187B"/>
    <w:rsid w:val="00AC36BC"/>
    <w:rsid w:val="00AC37FB"/>
    <w:rsid w:val="00AC41DE"/>
    <w:rsid w:val="00AC5A33"/>
    <w:rsid w:val="00AD4525"/>
    <w:rsid w:val="00AD5364"/>
    <w:rsid w:val="00AD54AF"/>
    <w:rsid w:val="00AE0272"/>
    <w:rsid w:val="00AE363E"/>
    <w:rsid w:val="00AE4201"/>
    <w:rsid w:val="00AE44D1"/>
    <w:rsid w:val="00AE5C82"/>
    <w:rsid w:val="00AE64FE"/>
    <w:rsid w:val="00AE7B3C"/>
    <w:rsid w:val="00AE7D90"/>
    <w:rsid w:val="00AF0287"/>
    <w:rsid w:val="00AF0E7A"/>
    <w:rsid w:val="00AF19EF"/>
    <w:rsid w:val="00AF3E4A"/>
    <w:rsid w:val="00AF5520"/>
    <w:rsid w:val="00AF58B9"/>
    <w:rsid w:val="00AF64B6"/>
    <w:rsid w:val="00B0083E"/>
    <w:rsid w:val="00B0154B"/>
    <w:rsid w:val="00B02FBB"/>
    <w:rsid w:val="00B039B7"/>
    <w:rsid w:val="00B14A5C"/>
    <w:rsid w:val="00B15837"/>
    <w:rsid w:val="00B16219"/>
    <w:rsid w:val="00B2034B"/>
    <w:rsid w:val="00B23728"/>
    <w:rsid w:val="00B23C02"/>
    <w:rsid w:val="00B2522F"/>
    <w:rsid w:val="00B27393"/>
    <w:rsid w:val="00B27524"/>
    <w:rsid w:val="00B30F03"/>
    <w:rsid w:val="00B32729"/>
    <w:rsid w:val="00B36176"/>
    <w:rsid w:val="00B3659E"/>
    <w:rsid w:val="00B36D84"/>
    <w:rsid w:val="00B40834"/>
    <w:rsid w:val="00B418E0"/>
    <w:rsid w:val="00B42D33"/>
    <w:rsid w:val="00B441BE"/>
    <w:rsid w:val="00B473AA"/>
    <w:rsid w:val="00B5142C"/>
    <w:rsid w:val="00B51AFA"/>
    <w:rsid w:val="00B54270"/>
    <w:rsid w:val="00B54AD8"/>
    <w:rsid w:val="00B55761"/>
    <w:rsid w:val="00B567E1"/>
    <w:rsid w:val="00B5686A"/>
    <w:rsid w:val="00B56A76"/>
    <w:rsid w:val="00B6021B"/>
    <w:rsid w:val="00B6067D"/>
    <w:rsid w:val="00B63703"/>
    <w:rsid w:val="00B63EE4"/>
    <w:rsid w:val="00B657D0"/>
    <w:rsid w:val="00B67573"/>
    <w:rsid w:val="00B709C0"/>
    <w:rsid w:val="00B715D3"/>
    <w:rsid w:val="00B71EC3"/>
    <w:rsid w:val="00B73005"/>
    <w:rsid w:val="00B759D7"/>
    <w:rsid w:val="00B80850"/>
    <w:rsid w:val="00B81E61"/>
    <w:rsid w:val="00B8226A"/>
    <w:rsid w:val="00B84788"/>
    <w:rsid w:val="00B8488E"/>
    <w:rsid w:val="00B84AE7"/>
    <w:rsid w:val="00B84EFA"/>
    <w:rsid w:val="00B853A7"/>
    <w:rsid w:val="00B85FF1"/>
    <w:rsid w:val="00B8762C"/>
    <w:rsid w:val="00B87990"/>
    <w:rsid w:val="00B91986"/>
    <w:rsid w:val="00B92E5D"/>
    <w:rsid w:val="00B93B08"/>
    <w:rsid w:val="00B947F2"/>
    <w:rsid w:val="00B96A05"/>
    <w:rsid w:val="00B96BA4"/>
    <w:rsid w:val="00B96E34"/>
    <w:rsid w:val="00B97354"/>
    <w:rsid w:val="00B97650"/>
    <w:rsid w:val="00BA0DC4"/>
    <w:rsid w:val="00BA295D"/>
    <w:rsid w:val="00BA3788"/>
    <w:rsid w:val="00BA4F00"/>
    <w:rsid w:val="00BA705C"/>
    <w:rsid w:val="00BA76FF"/>
    <w:rsid w:val="00BB0B7F"/>
    <w:rsid w:val="00BB18D1"/>
    <w:rsid w:val="00BB19D2"/>
    <w:rsid w:val="00BB31B2"/>
    <w:rsid w:val="00BB35FF"/>
    <w:rsid w:val="00BB52BA"/>
    <w:rsid w:val="00BB5CF1"/>
    <w:rsid w:val="00BC04D5"/>
    <w:rsid w:val="00BC075B"/>
    <w:rsid w:val="00BC2FDE"/>
    <w:rsid w:val="00BC3ED7"/>
    <w:rsid w:val="00BC4B29"/>
    <w:rsid w:val="00BC4F2A"/>
    <w:rsid w:val="00BC508B"/>
    <w:rsid w:val="00BC6435"/>
    <w:rsid w:val="00BC747F"/>
    <w:rsid w:val="00BC7953"/>
    <w:rsid w:val="00BD3AD6"/>
    <w:rsid w:val="00BD75AB"/>
    <w:rsid w:val="00BD78C2"/>
    <w:rsid w:val="00BE1707"/>
    <w:rsid w:val="00BE21C8"/>
    <w:rsid w:val="00BE418C"/>
    <w:rsid w:val="00BE4DC2"/>
    <w:rsid w:val="00BE619C"/>
    <w:rsid w:val="00BE6D77"/>
    <w:rsid w:val="00BF0A2B"/>
    <w:rsid w:val="00BF2D60"/>
    <w:rsid w:val="00BF46DB"/>
    <w:rsid w:val="00BF5683"/>
    <w:rsid w:val="00BF6790"/>
    <w:rsid w:val="00C00537"/>
    <w:rsid w:val="00C0118F"/>
    <w:rsid w:val="00C016ED"/>
    <w:rsid w:val="00C045C5"/>
    <w:rsid w:val="00C077A6"/>
    <w:rsid w:val="00C11426"/>
    <w:rsid w:val="00C11E71"/>
    <w:rsid w:val="00C12800"/>
    <w:rsid w:val="00C1362B"/>
    <w:rsid w:val="00C15318"/>
    <w:rsid w:val="00C15FD1"/>
    <w:rsid w:val="00C167B7"/>
    <w:rsid w:val="00C178E6"/>
    <w:rsid w:val="00C20A5F"/>
    <w:rsid w:val="00C216B1"/>
    <w:rsid w:val="00C22B87"/>
    <w:rsid w:val="00C2310A"/>
    <w:rsid w:val="00C26908"/>
    <w:rsid w:val="00C27B00"/>
    <w:rsid w:val="00C3473C"/>
    <w:rsid w:val="00C35637"/>
    <w:rsid w:val="00C3647E"/>
    <w:rsid w:val="00C36DB1"/>
    <w:rsid w:val="00C37697"/>
    <w:rsid w:val="00C377BF"/>
    <w:rsid w:val="00C378CF"/>
    <w:rsid w:val="00C40529"/>
    <w:rsid w:val="00C4065D"/>
    <w:rsid w:val="00C436A3"/>
    <w:rsid w:val="00C44973"/>
    <w:rsid w:val="00C462D3"/>
    <w:rsid w:val="00C512DC"/>
    <w:rsid w:val="00C53675"/>
    <w:rsid w:val="00C54147"/>
    <w:rsid w:val="00C548AF"/>
    <w:rsid w:val="00C54BF9"/>
    <w:rsid w:val="00C54ED5"/>
    <w:rsid w:val="00C622F5"/>
    <w:rsid w:val="00C630A7"/>
    <w:rsid w:val="00C6345D"/>
    <w:rsid w:val="00C65CF4"/>
    <w:rsid w:val="00C66F37"/>
    <w:rsid w:val="00C67D20"/>
    <w:rsid w:val="00C709CA"/>
    <w:rsid w:val="00C71ACD"/>
    <w:rsid w:val="00C720A2"/>
    <w:rsid w:val="00C72138"/>
    <w:rsid w:val="00C76CD6"/>
    <w:rsid w:val="00C77F7B"/>
    <w:rsid w:val="00C8121A"/>
    <w:rsid w:val="00C81B74"/>
    <w:rsid w:val="00C82A32"/>
    <w:rsid w:val="00C86C86"/>
    <w:rsid w:val="00C900DE"/>
    <w:rsid w:val="00C95948"/>
    <w:rsid w:val="00C95D3F"/>
    <w:rsid w:val="00C97282"/>
    <w:rsid w:val="00CA0195"/>
    <w:rsid w:val="00CA1962"/>
    <w:rsid w:val="00CA39EC"/>
    <w:rsid w:val="00CA5207"/>
    <w:rsid w:val="00CA565D"/>
    <w:rsid w:val="00CA5AAE"/>
    <w:rsid w:val="00CA7823"/>
    <w:rsid w:val="00CA7906"/>
    <w:rsid w:val="00CA7D81"/>
    <w:rsid w:val="00CB0CA3"/>
    <w:rsid w:val="00CB0F5B"/>
    <w:rsid w:val="00CB17FF"/>
    <w:rsid w:val="00CB2035"/>
    <w:rsid w:val="00CB3AA0"/>
    <w:rsid w:val="00CB5492"/>
    <w:rsid w:val="00CB5ACE"/>
    <w:rsid w:val="00CB6BD5"/>
    <w:rsid w:val="00CB752D"/>
    <w:rsid w:val="00CC129E"/>
    <w:rsid w:val="00CC24C6"/>
    <w:rsid w:val="00CC25B0"/>
    <w:rsid w:val="00CC5691"/>
    <w:rsid w:val="00CC756B"/>
    <w:rsid w:val="00CC766E"/>
    <w:rsid w:val="00CD053D"/>
    <w:rsid w:val="00CD2540"/>
    <w:rsid w:val="00CD3AB9"/>
    <w:rsid w:val="00CD3E6F"/>
    <w:rsid w:val="00CD401B"/>
    <w:rsid w:val="00CE055C"/>
    <w:rsid w:val="00CE15AF"/>
    <w:rsid w:val="00CE467C"/>
    <w:rsid w:val="00CE477E"/>
    <w:rsid w:val="00CE6C28"/>
    <w:rsid w:val="00CF0AD8"/>
    <w:rsid w:val="00CF16F8"/>
    <w:rsid w:val="00CF1DB4"/>
    <w:rsid w:val="00CF2092"/>
    <w:rsid w:val="00CF5C75"/>
    <w:rsid w:val="00CF7AA0"/>
    <w:rsid w:val="00D00378"/>
    <w:rsid w:val="00D032E5"/>
    <w:rsid w:val="00D03572"/>
    <w:rsid w:val="00D03B21"/>
    <w:rsid w:val="00D042A0"/>
    <w:rsid w:val="00D042DC"/>
    <w:rsid w:val="00D04A2E"/>
    <w:rsid w:val="00D052C5"/>
    <w:rsid w:val="00D104CA"/>
    <w:rsid w:val="00D120BB"/>
    <w:rsid w:val="00D12115"/>
    <w:rsid w:val="00D12F17"/>
    <w:rsid w:val="00D154FA"/>
    <w:rsid w:val="00D16026"/>
    <w:rsid w:val="00D17C0D"/>
    <w:rsid w:val="00D17F5F"/>
    <w:rsid w:val="00D21583"/>
    <w:rsid w:val="00D219B7"/>
    <w:rsid w:val="00D21EFB"/>
    <w:rsid w:val="00D23B00"/>
    <w:rsid w:val="00D24B1B"/>
    <w:rsid w:val="00D24DAF"/>
    <w:rsid w:val="00D25168"/>
    <w:rsid w:val="00D2675E"/>
    <w:rsid w:val="00D275F8"/>
    <w:rsid w:val="00D30FFB"/>
    <w:rsid w:val="00D3308E"/>
    <w:rsid w:val="00D34346"/>
    <w:rsid w:val="00D34387"/>
    <w:rsid w:val="00D34DCF"/>
    <w:rsid w:val="00D35194"/>
    <w:rsid w:val="00D40A1D"/>
    <w:rsid w:val="00D40E02"/>
    <w:rsid w:val="00D43A84"/>
    <w:rsid w:val="00D4527F"/>
    <w:rsid w:val="00D455DF"/>
    <w:rsid w:val="00D45E6F"/>
    <w:rsid w:val="00D52CF7"/>
    <w:rsid w:val="00D54195"/>
    <w:rsid w:val="00D541FF"/>
    <w:rsid w:val="00D54670"/>
    <w:rsid w:val="00D54F25"/>
    <w:rsid w:val="00D5540C"/>
    <w:rsid w:val="00D60C4B"/>
    <w:rsid w:val="00D61088"/>
    <w:rsid w:val="00D63326"/>
    <w:rsid w:val="00D63845"/>
    <w:rsid w:val="00D640BB"/>
    <w:rsid w:val="00D70212"/>
    <w:rsid w:val="00D711FD"/>
    <w:rsid w:val="00D72D90"/>
    <w:rsid w:val="00D763D7"/>
    <w:rsid w:val="00D777D6"/>
    <w:rsid w:val="00D77A4D"/>
    <w:rsid w:val="00D77BD2"/>
    <w:rsid w:val="00D77E67"/>
    <w:rsid w:val="00D80200"/>
    <w:rsid w:val="00D82476"/>
    <w:rsid w:val="00D82C59"/>
    <w:rsid w:val="00D841A5"/>
    <w:rsid w:val="00D84293"/>
    <w:rsid w:val="00D851B8"/>
    <w:rsid w:val="00D866A4"/>
    <w:rsid w:val="00D8734B"/>
    <w:rsid w:val="00D908FF"/>
    <w:rsid w:val="00D913A0"/>
    <w:rsid w:val="00D92263"/>
    <w:rsid w:val="00D922E9"/>
    <w:rsid w:val="00D9463E"/>
    <w:rsid w:val="00D96775"/>
    <w:rsid w:val="00D97529"/>
    <w:rsid w:val="00D97C8F"/>
    <w:rsid w:val="00DA14B6"/>
    <w:rsid w:val="00DA1877"/>
    <w:rsid w:val="00DA19E4"/>
    <w:rsid w:val="00DA1C8D"/>
    <w:rsid w:val="00DA2BE6"/>
    <w:rsid w:val="00DA61BB"/>
    <w:rsid w:val="00DB17B4"/>
    <w:rsid w:val="00DB3793"/>
    <w:rsid w:val="00DB3BD9"/>
    <w:rsid w:val="00DB452B"/>
    <w:rsid w:val="00DB5865"/>
    <w:rsid w:val="00DB6C0C"/>
    <w:rsid w:val="00DC0A38"/>
    <w:rsid w:val="00DC13EB"/>
    <w:rsid w:val="00DC1BCA"/>
    <w:rsid w:val="00DC1EC8"/>
    <w:rsid w:val="00DC2C55"/>
    <w:rsid w:val="00DC4770"/>
    <w:rsid w:val="00DC4FB2"/>
    <w:rsid w:val="00DC6B9E"/>
    <w:rsid w:val="00DC6EAE"/>
    <w:rsid w:val="00DD168E"/>
    <w:rsid w:val="00DD2967"/>
    <w:rsid w:val="00DD4D04"/>
    <w:rsid w:val="00DD51C7"/>
    <w:rsid w:val="00DD5732"/>
    <w:rsid w:val="00DD597A"/>
    <w:rsid w:val="00DD6B5F"/>
    <w:rsid w:val="00DE26FF"/>
    <w:rsid w:val="00DE27B5"/>
    <w:rsid w:val="00DE2DD9"/>
    <w:rsid w:val="00DE420C"/>
    <w:rsid w:val="00DE4332"/>
    <w:rsid w:val="00DE4F3F"/>
    <w:rsid w:val="00DE6761"/>
    <w:rsid w:val="00DE6DE0"/>
    <w:rsid w:val="00DE7A5A"/>
    <w:rsid w:val="00DF0E8E"/>
    <w:rsid w:val="00DF129F"/>
    <w:rsid w:val="00DF1830"/>
    <w:rsid w:val="00DF1E7A"/>
    <w:rsid w:val="00DF3623"/>
    <w:rsid w:val="00DF5446"/>
    <w:rsid w:val="00DF786E"/>
    <w:rsid w:val="00DF7D12"/>
    <w:rsid w:val="00E038A8"/>
    <w:rsid w:val="00E03CDC"/>
    <w:rsid w:val="00E0481D"/>
    <w:rsid w:val="00E060FE"/>
    <w:rsid w:val="00E064AA"/>
    <w:rsid w:val="00E06F0E"/>
    <w:rsid w:val="00E07F44"/>
    <w:rsid w:val="00E106DA"/>
    <w:rsid w:val="00E115C9"/>
    <w:rsid w:val="00E15B42"/>
    <w:rsid w:val="00E23120"/>
    <w:rsid w:val="00E23C63"/>
    <w:rsid w:val="00E2693C"/>
    <w:rsid w:val="00E31434"/>
    <w:rsid w:val="00E31E33"/>
    <w:rsid w:val="00E320A0"/>
    <w:rsid w:val="00E336A2"/>
    <w:rsid w:val="00E3386E"/>
    <w:rsid w:val="00E35067"/>
    <w:rsid w:val="00E455A1"/>
    <w:rsid w:val="00E506E3"/>
    <w:rsid w:val="00E51C96"/>
    <w:rsid w:val="00E52F41"/>
    <w:rsid w:val="00E54837"/>
    <w:rsid w:val="00E55E73"/>
    <w:rsid w:val="00E56C18"/>
    <w:rsid w:val="00E573BA"/>
    <w:rsid w:val="00E57C7A"/>
    <w:rsid w:val="00E60079"/>
    <w:rsid w:val="00E61349"/>
    <w:rsid w:val="00E6294C"/>
    <w:rsid w:val="00E6396C"/>
    <w:rsid w:val="00E64927"/>
    <w:rsid w:val="00E64D5A"/>
    <w:rsid w:val="00E653B6"/>
    <w:rsid w:val="00E67B4B"/>
    <w:rsid w:val="00E7000D"/>
    <w:rsid w:val="00E71BF3"/>
    <w:rsid w:val="00E751D7"/>
    <w:rsid w:val="00E76E3B"/>
    <w:rsid w:val="00E77438"/>
    <w:rsid w:val="00E776B2"/>
    <w:rsid w:val="00E801EF"/>
    <w:rsid w:val="00E8043B"/>
    <w:rsid w:val="00E80EB1"/>
    <w:rsid w:val="00E81996"/>
    <w:rsid w:val="00E82589"/>
    <w:rsid w:val="00E8360C"/>
    <w:rsid w:val="00E84925"/>
    <w:rsid w:val="00E850E0"/>
    <w:rsid w:val="00E87364"/>
    <w:rsid w:val="00E90F65"/>
    <w:rsid w:val="00E93E85"/>
    <w:rsid w:val="00E9548F"/>
    <w:rsid w:val="00E95EE2"/>
    <w:rsid w:val="00E96B1E"/>
    <w:rsid w:val="00E97026"/>
    <w:rsid w:val="00E9787A"/>
    <w:rsid w:val="00EA02C1"/>
    <w:rsid w:val="00EA173C"/>
    <w:rsid w:val="00EA2632"/>
    <w:rsid w:val="00EA5AAA"/>
    <w:rsid w:val="00EA7CCB"/>
    <w:rsid w:val="00EB0B6E"/>
    <w:rsid w:val="00EB0F59"/>
    <w:rsid w:val="00EB161E"/>
    <w:rsid w:val="00EB20DA"/>
    <w:rsid w:val="00EB589A"/>
    <w:rsid w:val="00EB7793"/>
    <w:rsid w:val="00EC063F"/>
    <w:rsid w:val="00EC1219"/>
    <w:rsid w:val="00EC3610"/>
    <w:rsid w:val="00EC3BB9"/>
    <w:rsid w:val="00EC41A4"/>
    <w:rsid w:val="00EC4BDB"/>
    <w:rsid w:val="00EC54A2"/>
    <w:rsid w:val="00EC6A66"/>
    <w:rsid w:val="00EC7525"/>
    <w:rsid w:val="00ED05AC"/>
    <w:rsid w:val="00ED156F"/>
    <w:rsid w:val="00ED303C"/>
    <w:rsid w:val="00ED7003"/>
    <w:rsid w:val="00ED7BA4"/>
    <w:rsid w:val="00EE1515"/>
    <w:rsid w:val="00EE17A4"/>
    <w:rsid w:val="00EE4884"/>
    <w:rsid w:val="00EE5281"/>
    <w:rsid w:val="00EE63C5"/>
    <w:rsid w:val="00EE664B"/>
    <w:rsid w:val="00EE6B14"/>
    <w:rsid w:val="00EE7D8F"/>
    <w:rsid w:val="00EF2693"/>
    <w:rsid w:val="00EF2CBD"/>
    <w:rsid w:val="00EF366F"/>
    <w:rsid w:val="00EF3F76"/>
    <w:rsid w:val="00EF51EC"/>
    <w:rsid w:val="00EF5932"/>
    <w:rsid w:val="00EF5D7B"/>
    <w:rsid w:val="00EF66BF"/>
    <w:rsid w:val="00EF798A"/>
    <w:rsid w:val="00F001C6"/>
    <w:rsid w:val="00F03E2D"/>
    <w:rsid w:val="00F06029"/>
    <w:rsid w:val="00F06071"/>
    <w:rsid w:val="00F06938"/>
    <w:rsid w:val="00F10DA3"/>
    <w:rsid w:val="00F12101"/>
    <w:rsid w:val="00F123EA"/>
    <w:rsid w:val="00F12CEB"/>
    <w:rsid w:val="00F14EC4"/>
    <w:rsid w:val="00F15FD1"/>
    <w:rsid w:val="00F1673E"/>
    <w:rsid w:val="00F16BF1"/>
    <w:rsid w:val="00F1767C"/>
    <w:rsid w:val="00F217C2"/>
    <w:rsid w:val="00F21938"/>
    <w:rsid w:val="00F21BC2"/>
    <w:rsid w:val="00F220ED"/>
    <w:rsid w:val="00F222BC"/>
    <w:rsid w:val="00F2237A"/>
    <w:rsid w:val="00F223B2"/>
    <w:rsid w:val="00F26A09"/>
    <w:rsid w:val="00F26DF8"/>
    <w:rsid w:val="00F324E7"/>
    <w:rsid w:val="00F333DD"/>
    <w:rsid w:val="00F33639"/>
    <w:rsid w:val="00F34F96"/>
    <w:rsid w:val="00F35F77"/>
    <w:rsid w:val="00F368C8"/>
    <w:rsid w:val="00F371C9"/>
    <w:rsid w:val="00F3772B"/>
    <w:rsid w:val="00F4066F"/>
    <w:rsid w:val="00F4222F"/>
    <w:rsid w:val="00F4436C"/>
    <w:rsid w:val="00F46CC4"/>
    <w:rsid w:val="00F478C4"/>
    <w:rsid w:val="00F47F7D"/>
    <w:rsid w:val="00F52CA2"/>
    <w:rsid w:val="00F53A89"/>
    <w:rsid w:val="00F56880"/>
    <w:rsid w:val="00F60707"/>
    <w:rsid w:val="00F61868"/>
    <w:rsid w:val="00F6233A"/>
    <w:rsid w:val="00F66359"/>
    <w:rsid w:val="00F67255"/>
    <w:rsid w:val="00F71364"/>
    <w:rsid w:val="00F725E3"/>
    <w:rsid w:val="00F73030"/>
    <w:rsid w:val="00F745C1"/>
    <w:rsid w:val="00F755EC"/>
    <w:rsid w:val="00F75DEC"/>
    <w:rsid w:val="00F7773E"/>
    <w:rsid w:val="00F779FC"/>
    <w:rsid w:val="00F80AD0"/>
    <w:rsid w:val="00F81601"/>
    <w:rsid w:val="00F81911"/>
    <w:rsid w:val="00F824E7"/>
    <w:rsid w:val="00F83F35"/>
    <w:rsid w:val="00F85AA1"/>
    <w:rsid w:val="00F873BA"/>
    <w:rsid w:val="00F92278"/>
    <w:rsid w:val="00F939E8"/>
    <w:rsid w:val="00F948BC"/>
    <w:rsid w:val="00F94CB4"/>
    <w:rsid w:val="00F94FC9"/>
    <w:rsid w:val="00F978A4"/>
    <w:rsid w:val="00FA024B"/>
    <w:rsid w:val="00FA2EBA"/>
    <w:rsid w:val="00FA3349"/>
    <w:rsid w:val="00FA3A6A"/>
    <w:rsid w:val="00FA49F9"/>
    <w:rsid w:val="00FA689F"/>
    <w:rsid w:val="00FB070D"/>
    <w:rsid w:val="00FB0CB0"/>
    <w:rsid w:val="00FB0F4F"/>
    <w:rsid w:val="00FB4AA6"/>
    <w:rsid w:val="00FC0BAA"/>
    <w:rsid w:val="00FC2885"/>
    <w:rsid w:val="00FC4034"/>
    <w:rsid w:val="00FC452C"/>
    <w:rsid w:val="00FC6164"/>
    <w:rsid w:val="00FC61AC"/>
    <w:rsid w:val="00FC62B7"/>
    <w:rsid w:val="00FC630C"/>
    <w:rsid w:val="00FD18AD"/>
    <w:rsid w:val="00FD268E"/>
    <w:rsid w:val="00FD3E84"/>
    <w:rsid w:val="00FD4691"/>
    <w:rsid w:val="00FD51F4"/>
    <w:rsid w:val="00FD6D2B"/>
    <w:rsid w:val="00FD7794"/>
    <w:rsid w:val="00FE50F8"/>
    <w:rsid w:val="00FE511A"/>
    <w:rsid w:val="00FE51CB"/>
    <w:rsid w:val="00FE5729"/>
    <w:rsid w:val="00FE5862"/>
    <w:rsid w:val="00FF0A1E"/>
    <w:rsid w:val="00FF3829"/>
    <w:rsid w:val="00FF3EC7"/>
    <w:rsid w:val="00FF4637"/>
    <w:rsid w:val="00FF545A"/>
    <w:rsid w:val="04647BB8"/>
    <w:rsid w:val="06BA74CF"/>
    <w:rsid w:val="08E405FF"/>
    <w:rsid w:val="0D132530"/>
    <w:rsid w:val="14036870"/>
    <w:rsid w:val="140A0181"/>
    <w:rsid w:val="14C961D8"/>
    <w:rsid w:val="1A976215"/>
    <w:rsid w:val="22307BF5"/>
    <w:rsid w:val="260937D9"/>
    <w:rsid w:val="59417793"/>
    <w:rsid w:val="69A85B93"/>
    <w:rsid w:val="6E0A58F8"/>
    <w:rsid w:val="723B0DCB"/>
    <w:rsid w:val="76D92711"/>
    <w:rsid w:val="78A5067A"/>
    <w:rsid w:val="7C287022"/>
    <w:rsid w:val="7CCA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34"/>
    <w:qFormat/>
    <w:uiPriority w:val="9"/>
    <w:pPr>
      <w:keepNext/>
      <w:keepLines/>
      <w:spacing w:before="120" w:after="120"/>
      <w:ind w:firstLine="0" w:firstLineChars="0"/>
      <w:jc w:val="center"/>
      <w:outlineLvl w:val="0"/>
    </w:pPr>
    <w:rPr>
      <w:rFonts w:ascii="方正小标宋简体" w:hAnsi="Calibri" w:eastAsia="方正小标宋简体" w:cs="Times New Roman"/>
      <w:bCs/>
      <w:kern w:val="44"/>
      <w:szCs w:val="44"/>
    </w:rPr>
  </w:style>
  <w:style w:type="paragraph" w:styleId="3">
    <w:name w:val="heading 2"/>
    <w:basedOn w:val="1"/>
    <w:next w:val="1"/>
    <w:link w:val="35"/>
    <w:unhideWhenUsed/>
    <w:qFormat/>
    <w:uiPriority w:val="9"/>
    <w:pPr>
      <w:keepNext/>
      <w:keepLines/>
      <w:spacing w:before="360" w:after="360"/>
      <w:ind w:firstLine="0" w:firstLineChars="0"/>
      <w:jc w:val="center"/>
      <w:outlineLvl w:val="1"/>
    </w:pPr>
    <w:rPr>
      <w:rFonts w:eastAsia="黑体" w:asciiTheme="majorHAnsi" w:hAnsiTheme="majorHAnsi" w:cstheme="majorBidi"/>
      <w:bCs/>
      <w:szCs w:val="32"/>
    </w:rPr>
  </w:style>
  <w:style w:type="paragraph" w:styleId="4">
    <w:name w:val="heading 3"/>
    <w:basedOn w:val="1"/>
    <w:next w:val="1"/>
    <w:link w:val="36"/>
    <w:unhideWhenUsed/>
    <w:qFormat/>
    <w:uiPriority w:val="9"/>
    <w:pPr>
      <w:keepNext/>
      <w:keepLines/>
      <w:ind w:firstLine="640"/>
      <w:outlineLvl w:val="2"/>
    </w:pPr>
    <w:rPr>
      <w:rFonts w:eastAsia="黑体"/>
      <w:bCs/>
      <w:szCs w:val="32"/>
    </w:rPr>
  </w:style>
  <w:style w:type="paragraph" w:styleId="5">
    <w:name w:val="heading 4"/>
    <w:basedOn w:val="1"/>
    <w:next w:val="1"/>
    <w:link w:val="37"/>
    <w:unhideWhenUsed/>
    <w:qFormat/>
    <w:uiPriority w:val="9"/>
    <w:pPr>
      <w:keepNext/>
      <w:keepLines/>
      <w:outlineLvl w:val="3"/>
    </w:pPr>
    <w:rPr>
      <w:rFonts w:eastAsia="楷体_GB2312" w:asciiTheme="majorHAnsi" w:hAnsiTheme="majorHAnsi" w:cstheme="majorBidi"/>
      <w:bCs/>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caption"/>
    <w:basedOn w:val="1"/>
    <w:next w:val="1"/>
    <w:unhideWhenUsed/>
    <w:qFormat/>
    <w:uiPriority w:val="35"/>
    <w:pPr>
      <w:spacing w:line="360" w:lineRule="auto"/>
    </w:pPr>
    <w:rPr>
      <w:rFonts w:ascii="Arial" w:hAnsi="Arial" w:eastAsia="黑体"/>
    </w:rPr>
  </w:style>
  <w:style w:type="paragraph" w:styleId="9">
    <w:name w:val="annotation text"/>
    <w:basedOn w:val="1"/>
    <w:link w:val="40"/>
    <w:semiHidden/>
    <w:unhideWhenUsed/>
    <w:qFormat/>
    <w:uiPriority w:val="99"/>
    <w:pPr>
      <w:jc w:val="left"/>
    </w:pPr>
  </w:style>
  <w:style w:type="paragraph" w:styleId="10">
    <w:name w:val="Body Text Indent"/>
    <w:basedOn w:val="1"/>
    <w:link w:val="62"/>
    <w:semiHidden/>
    <w:unhideWhenUsed/>
    <w:qFormat/>
    <w:uiPriority w:val="99"/>
    <w:pPr>
      <w:spacing w:after="120"/>
      <w:ind w:left="420" w:leftChars="200"/>
    </w:p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tabs>
        <w:tab w:val="right" w:leader="dot" w:pos="8296"/>
      </w:tabs>
      <w:ind w:firstLine="640"/>
    </w:pPr>
  </w:style>
  <w:style w:type="paragraph" w:styleId="13">
    <w:name w:val="toc 8"/>
    <w:basedOn w:val="1"/>
    <w:next w:val="1"/>
    <w:unhideWhenUsed/>
    <w:qFormat/>
    <w:uiPriority w:val="39"/>
    <w:pPr>
      <w:ind w:left="2940" w:leftChars="1400"/>
    </w:pPr>
  </w:style>
  <w:style w:type="paragraph" w:styleId="14">
    <w:name w:val="Balloon Text"/>
    <w:basedOn w:val="1"/>
    <w:link w:val="42"/>
    <w:semiHidden/>
    <w:unhideWhenUsed/>
    <w:qFormat/>
    <w:uiPriority w:val="99"/>
    <w:rPr>
      <w:sz w:val="18"/>
      <w:szCs w:val="18"/>
    </w:rPr>
  </w:style>
  <w:style w:type="paragraph" w:styleId="15">
    <w:name w:val="footer"/>
    <w:basedOn w:val="1"/>
    <w:link w:val="39"/>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before="156" w:after="120"/>
      <w:ind w:firstLine="0" w:firstLineChars="0"/>
    </w:pPr>
    <w:rPr>
      <w:rFonts w:ascii="方正小标宋简体" w:hAnsi="黑体" w:eastAsia="方正小标宋简体" w:cs="Times New Roman"/>
      <w:bCs/>
      <w:kern w:val="44"/>
      <w:szCs w:val="32"/>
    </w:rPr>
  </w:style>
  <w:style w:type="paragraph" w:styleId="18">
    <w:name w:val="toc 4"/>
    <w:basedOn w:val="1"/>
    <w:next w:val="1"/>
    <w:unhideWhenUsed/>
    <w:qFormat/>
    <w:uiPriority w:val="39"/>
    <w:pPr>
      <w:ind w:left="1260" w:leftChars="600"/>
    </w:pPr>
  </w:style>
  <w:style w:type="paragraph" w:styleId="19">
    <w:name w:val="footnote text"/>
    <w:basedOn w:val="1"/>
    <w:link w:val="33"/>
    <w:semiHidden/>
    <w:unhideWhenUsed/>
    <w:qFormat/>
    <w:uiPriority w:val="99"/>
    <w:pPr>
      <w:snapToGrid w:val="0"/>
      <w:jc w:val="left"/>
    </w:pPr>
    <w:rPr>
      <w:sz w:val="18"/>
    </w:rPr>
  </w:style>
  <w:style w:type="paragraph" w:styleId="20">
    <w:name w:val="toc 6"/>
    <w:basedOn w:val="1"/>
    <w:next w:val="1"/>
    <w:unhideWhenUsed/>
    <w:qFormat/>
    <w:uiPriority w:val="39"/>
    <w:pPr>
      <w:ind w:left="2100" w:leftChars="1000"/>
    </w:pPr>
  </w:style>
  <w:style w:type="paragraph" w:styleId="21">
    <w:name w:val="toc 2"/>
    <w:basedOn w:val="1"/>
    <w:next w:val="1"/>
    <w:unhideWhenUsed/>
    <w:qFormat/>
    <w:uiPriority w:val="39"/>
    <w:pPr>
      <w:tabs>
        <w:tab w:val="right" w:leader="dot" w:pos="8296"/>
      </w:tabs>
      <w:ind w:left="318" w:firstLine="600"/>
    </w:pPr>
    <w:rPr>
      <w:rFonts w:ascii="黑体" w:hAnsi="黑体" w:eastAsia="黑体"/>
      <w:sz w:val="30"/>
    </w:rPr>
  </w:style>
  <w:style w:type="paragraph" w:styleId="22">
    <w:name w:val="toc 9"/>
    <w:basedOn w:val="1"/>
    <w:next w:val="1"/>
    <w:unhideWhenUsed/>
    <w:qFormat/>
    <w:uiPriority w:val="39"/>
    <w:pPr>
      <w:ind w:left="3360" w:leftChars="1600"/>
    </w:p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annotation subject"/>
    <w:basedOn w:val="9"/>
    <w:next w:val="9"/>
    <w:link w:val="41"/>
    <w:semiHidden/>
    <w:unhideWhenUsed/>
    <w:qFormat/>
    <w:uiPriority w:val="99"/>
    <w:rPr>
      <w:b/>
      <w:bCs/>
    </w:rPr>
  </w:style>
  <w:style w:type="paragraph" w:styleId="25">
    <w:name w:val="Body Text First Indent 2"/>
    <w:basedOn w:val="10"/>
    <w:link w:val="63"/>
    <w:qFormat/>
    <w:uiPriority w:val="0"/>
    <w:pPr>
      <w:ind w:firstLine="210"/>
    </w:pPr>
    <w:rPr>
      <w:rFonts w:ascii="Times New Roman" w:hAnsi="Calibri" w:eastAsia="宋体" w:cs="Times New Roman"/>
      <w:szCs w:val="24"/>
    </w:rPr>
  </w:style>
  <w:style w:type="table" w:styleId="27">
    <w:name w:val="Table Grid"/>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semiHidden/>
    <w:unhideWhenUsed/>
    <w:qFormat/>
    <w:uiPriority w:val="99"/>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character" w:styleId="32">
    <w:name w:val="footnote reference"/>
    <w:basedOn w:val="28"/>
    <w:semiHidden/>
    <w:unhideWhenUsed/>
    <w:qFormat/>
    <w:uiPriority w:val="99"/>
    <w:rPr>
      <w:vertAlign w:val="superscript"/>
    </w:rPr>
  </w:style>
  <w:style w:type="character" w:customStyle="1" w:styleId="33">
    <w:name w:val="脚注文本 字符"/>
    <w:basedOn w:val="28"/>
    <w:link w:val="19"/>
    <w:semiHidden/>
    <w:qFormat/>
    <w:uiPriority w:val="99"/>
    <w:rPr>
      <w:sz w:val="18"/>
    </w:rPr>
  </w:style>
  <w:style w:type="character" w:customStyle="1" w:styleId="34">
    <w:name w:val="标题 1 字符"/>
    <w:basedOn w:val="28"/>
    <w:link w:val="2"/>
    <w:qFormat/>
    <w:uiPriority w:val="9"/>
    <w:rPr>
      <w:rFonts w:ascii="方正小标宋简体" w:hAnsi="Calibri" w:eastAsia="方正小标宋简体" w:cs="Times New Roman"/>
      <w:bCs/>
      <w:kern w:val="44"/>
      <w:sz w:val="32"/>
      <w:szCs w:val="44"/>
    </w:rPr>
  </w:style>
  <w:style w:type="character" w:customStyle="1" w:styleId="35">
    <w:name w:val="标题 2 字符"/>
    <w:basedOn w:val="28"/>
    <w:link w:val="3"/>
    <w:qFormat/>
    <w:uiPriority w:val="9"/>
    <w:rPr>
      <w:rFonts w:eastAsia="黑体" w:asciiTheme="majorHAnsi" w:hAnsiTheme="majorHAnsi" w:cstheme="majorBidi"/>
      <w:bCs/>
      <w:sz w:val="32"/>
      <w:szCs w:val="32"/>
    </w:rPr>
  </w:style>
  <w:style w:type="character" w:customStyle="1" w:styleId="36">
    <w:name w:val="标题 3 字符"/>
    <w:basedOn w:val="28"/>
    <w:link w:val="4"/>
    <w:qFormat/>
    <w:uiPriority w:val="9"/>
    <w:rPr>
      <w:rFonts w:eastAsia="黑体"/>
      <w:bCs/>
      <w:sz w:val="32"/>
      <w:szCs w:val="32"/>
    </w:rPr>
  </w:style>
  <w:style w:type="character" w:customStyle="1" w:styleId="37">
    <w:name w:val="标题 4 字符"/>
    <w:basedOn w:val="28"/>
    <w:link w:val="5"/>
    <w:qFormat/>
    <w:uiPriority w:val="9"/>
    <w:rPr>
      <w:rFonts w:eastAsia="楷体_GB2312" w:asciiTheme="majorHAnsi" w:hAnsiTheme="majorHAnsi" w:cstheme="majorBidi"/>
      <w:bCs/>
      <w:sz w:val="32"/>
      <w:szCs w:val="28"/>
    </w:rPr>
  </w:style>
  <w:style w:type="character" w:customStyle="1" w:styleId="38">
    <w:name w:val="页眉 字符"/>
    <w:basedOn w:val="28"/>
    <w:link w:val="16"/>
    <w:qFormat/>
    <w:uiPriority w:val="99"/>
    <w:rPr>
      <w:sz w:val="18"/>
      <w:szCs w:val="18"/>
    </w:rPr>
  </w:style>
  <w:style w:type="character" w:customStyle="1" w:styleId="39">
    <w:name w:val="页脚 字符"/>
    <w:basedOn w:val="28"/>
    <w:link w:val="15"/>
    <w:qFormat/>
    <w:uiPriority w:val="99"/>
    <w:rPr>
      <w:sz w:val="18"/>
      <w:szCs w:val="18"/>
    </w:rPr>
  </w:style>
  <w:style w:type="character" w:customStyle="1" w:styleId="40">
    <w:name w:val="批注文字 字符"/>
    <w:basedOn w:val="28"/>
    <w:link w:val="9"/>
    <w:semiHidden/>
    <w:qFormat/>
    <w:uiPriority w:val="99"/>
  </w:style>
  <w:style w:type="character" w:customStyle="1" w:styleId="41">
    <w:name w:val="批注主题 字符"/>
    <w:basedOn w:val="40"/>
    <w:link w:val="24"/>
    <w:semiHidden/>
    <w:qFormat/>
    <w:uiPriority w:val="99"/>
    <w:rPr>
      <w:b/>
      <w:bCs/>
    </w:rPr>
  </w:style>
  <w:style w:type="character" w:customStyle="1" w:styleId="42">
    <w:name w:val="批注框文本 字符"/>
    <w:basedOn w:val="28"/>
    <w:link w:val="14"/>
    <w:semiHidden/>
    <w:qFormat/>
    <w:uiPriority w:val="99"/>
    <w:rPr>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44">
    <w:name w:val="List Paragraph"/>
    <w:basedOn w:val="1"/>
    <w:qFormat/>
    <w:uiPriority w:val="34"/>
    <w:pPr>
      <w:ind w:firstLine="420"/>
    </w:pPr>
  </w:style>
  <w:style w:type="paragraph" w:customStyle="1" w:styleId="45">
    <w:name w:val="表格样式"/>
    <w:basedOn w:val="1"/>
    <w:link w:val="46"/>
    <w:qFormat/>
    <w:uiPriority w:val="0"/>
    <w:pPr>
      <w:spacing w:line="400" w:lineRule="exact"/>
      <w:jc w:val="center"/>
    </w:pPr>
    <w:rPr>
      <w:rFonts w:ascii="仿宋_GB2312"/>
      <w:sz w:val="28"/>
      <w:szCs w:val="28"/>
    </w:rPr>
  </w:style>
  <w:style w:type="character" w:customStyle="1" w:styleId="46">
    <w:name w:val="表格样式 字符"/>
    <w:basedOn w:val="28"/>
    <w:link w:val="45"/>
    <w:qFormat/>
    <w:uiPriority w:val="0"/>
    <w:rPr>
      <w:rFonts w:ascii="仿宋_GB2312" w:eastAsia="仿宋_GB2312"/>
      <w:sz w:val="28"/>
      <w:szCs w:val="28"/>
    </w:rPr>
  </w:style>
  <w:style w:type="table" w:customStyle="1" w:styleId="47">
    <w:name w:val="网格表 5 深色 - 着色 11"/>
    <w:basedOn w:val="26"/>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48">
    <w:name w:val="00---表格、图名"/>
    <w:basedOn w:val="1"/>
    <w:qFormat/>
    <w:uiPriority w:val="0"/>
    <w:pPr>
      <w:spacing w:line="480" w:lineRule="exact"/>
      <w:jc w:val="center"/>
    </w:pPr>
    <w:rPr>
      <w:rFonts w:ascii="仿宋_GB2312"/>
      <w:sz w:val="28"/>
    </w:rPr>
  </w:style>
  <w:style w:type="character" w:customStyle="1" w:styleId="49">
    <w:name w:val="bjh-p"/>
    <w:basedOn w:val="28"/>
    <w:qFormat/>
    <w:uiPriority w:val="0"/>
  </w:style>
  <w:style w:type="paragraph" w:customStyle="1" w:styleId="50">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51">
    <w:name w:val="标题 5 字符"/>
    <w:basedOn w:val="28"/>
    <w:link w:val="6"/>
    <w:qFormat/>
    <w:uiPriority w:val="9"/>
    <w:rPr>
      <w:b/>
      <w:bCs/>
      <w:sz w:val="28"/>
      <w:szCs w:val="28"/>
    </w:rPr>
  </w:style>
  <w:style w:type="paragraph" w:customStyle="1" w:styleId="52">
    <w:name w:val="正文标红"/>
    <w:basedOn w:val="1"/>
    <w:link w:val="53"/>
    <w:qFormat/>
    <w:uiPriority w:val="0"/>
    <w:pPr>
      <w:ind w:firstLine="640"/>
    </w:pPr>
    <w:rPr>
      <w:rFonts w:ascii="仿宋_GB2312"/>
      <w:b/>
    </w:rPr>
  </w:style>
  <w:style w:type="character" w:customStyle="1" w:styleId="53">
    <w:name w:val="正文标红 字符"/>
    <w:basedOn w:val="28"/>
    <w:link w:val="52"/>
    <w:qFormat/>
    <w:uiPriority w:val="0"/>
    <w:rPr>
      <w:rFonts w:ascii="仿宋_GB2312" w:eastAsia="仿宋_GB2312"/>
      <w:b/>
      <w:sz w:val="32"/>
    </w:rPr>
  </w:style>
  <w:style w:type="paragraph" w:customStyle="1" w:styleId="54">
    <w:name w:val="表格、图名"/>
    <w:basedOn w:val="1"/>
    <w:link w:val="55"/>
    <w:qFormat/>
    <w:uiPriority w:val="0"/>
    <w:pPr>
      <w:spacing w:line="480" w:lineRule="exact"/>
      <w:jc w:val="center"/>
    </w:pPr>
    <w:rPr>
      <w:rFonts w:ascii="仿宋_GB2312"/>
      <w:sz w:val="30"/>
    </w:rPr>
  </w:style>
  <w:style w:type="character" w:customStyle="1" w:styleId="55">
    <w:name w:val="表格、图名 Char"/>
    <w:basedOn w:val="28"/>
    <w:link w:val="54"/>
    <w:qFormat/>
    <w:uiPriority w:val="0"/>
    <w:rPr>
      <w:rFonts w:ascii="仿宋_GB2312" w:eastAsia="仿宋_GB2312"/>
      <w:sz w:val="30"/>
    </w:rPr>
  </w:style>
  <w:style w:type="paragraph" w:customStyle="1" w:styleId="56">
    <w:name w:val="小标题zw"/>
    <w:basedOn w:val="1"/>
    <w:link w:val="57"/>
    <w:qFormat/>
    <w:uiPriority w:val="0"/>
    <w:pPr>
      <w:ind w:firstLine="643"/>
    </w:pPr>
    <w:rPr>
      <w:rFonts w:ascii="仿宋_GB2312"/>
      <w:b/>
    </w:rPr>
  </w:style>
  <w:style w:type="character" w:customStyle="1" w:styleId="57">
    <w:name w:val="小标题zw Char"/>
    <w:basedOn w:val="28"/>
    <w:link w:val="56"/>
    <w:qFormat/>
    <w:uiPriority w:val="0"/>
    <w:rPr>
      <w:rFonts w:ascii="仿宋_GB2312" w:eastAsia="仿宋_GB2312"/>
      <w:b/>
      <w:sz w:val="32"/>
    </w:rPr>
  </w:style>
  <w:style w:type="table" w:customStyle="1" w:styleId="58">
    <w:name w:val="网格表 5 深色 - 着色 111"/>
    <w:basedOn w:val="26"/>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paragraph" w:customStyle="1" w:styleId="5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6" w:themeColor="accent1" w:themeShade="BF"/>
      <w:kern w:val="0"/>
      <w:szCs w:val="32"/>
    </w:rPr>
  </w:style>
  <w:style w:type="paragraph" w:customStyle="1" w:styleId="60">
    <w:name w:val="样式2"/>
    <w:basedOn w:val="1"/>
    <w:link w:val="61"/>
    <w:qFormat/>
    <w:uiPriority w:val="0"/>
    <w:pPr>
      <w:widowControl/>
      <w:spacing w:line="360" w:lineRule="auto"/>
      <w:ind w:firstLine="560"/>
      <w:jc w:val="center"/>
    </w:pPr>
    <w:rPr>
      <w:rFonts w:ascii="黑体" w:hAnsi="黑体" w:eastAsia="黑体" w:cs="宋体"/>
      <w:kern w:val="0"/>
      <w:sz w:val="28"/>
      <w:szCs w:val="28"/>
    </w:rPr>
  </w:style>
  <w:style w:type="character" w:customStyle="1" w:styleId="61">
    <w:name w:val="样式2 Char"/>
    <w:link w:val="60"/>
    <w:qFormat/>
    <w:uiPriority w:val="0"/>
    <w:rPr>
      <w:rFonts w:ascii="黑体" w:hAnsi="黑体" w:eastAsia="黑体" w:cs="宋体"/>
      <w:kern w:val="0"/>
      <w:sz w:val="28"/>
      <w:szCs w:val="28"/>
    </w:rPr>
  </w:style>
  <w:style w:type="character" w:customStyle="1" w:styleId="62">
    <w:name w:val="正文文本缩进 字符"/>
    <w:basedOn w:val="28"/>
    <w:link w:val="10"/>
    <w:semiHidden/>
    <w:qFormat/>
    <w:uiPriority w:val="99"/>
  </w:style>
  <w:style w:type="character" w:customStyle="1" w:styleId="63">
    <w:name w:val="正文文本首行缩进 2 字符"/>
    <w:basedOn w:val="62"/>
    <w:link w:val="25"/>
    <w:qFormat/>
    <w:uiPriority w:val="0"/>
    <w:rPr>
      <w:rFonts w:ascii="Times New Roman" w:hAnsi="Calibri" w:eastAsia="宋体" w:cs="Times New Roman"/>
      <w:szCs w:val="24"/>
    </w:rPr>
  </w:style>
  <w:style w:type="character" w:customStyle="1" w:styleId="64">
    <w:name w:val="A13"/>
    <w:qFormat/>
    <w:uiPriority w:val="99"/>
    <w:rPr>
      <w:rFonts w:cs="å¢ªÃó≈_/"/>
      <w:color w:val="211D1E"/>
      <w:sz w:val="26"/>
      <w:szCs w:val="26"/>
    </w:rPr>
  </w:style>
  <w:style w:type="paragraph" w:customStyle="1" w:styleId="65">
    <w:name w:val="专栏标题10.1"/>
    <w:basedOn w:val="1"/>
    <w:link w:val="66"/>
    <w:qFormat/>
    <w:uiPriority w:val="0"/>
    <w:pPr>
      <w:spacing w:before="50" w:beforeLines="50" w:line="420" w:lineRule="exact"/>
      <w:jc w:val="center"/>
    </w:pPr>
    <w:rPr>
      <w:rFonts w:ascii="黑体" w:hAnsi="黑体" w:eastAsia="黑体" w:cs="Times New Roman"/>
      <w:kern w:val="0"/>
      <w:sz w:val="28"/>
      <w:szCs w:val="20"/>
    </w:rPr>
  </w:style>
  <w:style w:type="character" w:customStyle="1" w:styleId="66">
    <w:name w:val="专栏标题10.1 字符"/>
    <w:basedOn w:val="28"/>
    <w:link w:val="65"/>
    <w:qFormat/>
    <w:uiPriority w:val="0"/>
    <w:rPr>
      <w:rFonts w:ascii="黑体" w:hAnsi="黑体" w:eastAsia="黑体" w:cs="Times New Roman"/>
      <w:kern w:val="0"/>
      <w:sz w:val="28"/>
      <w:szCs w:val="20"/>
    </w:rPr>
  </w:style>
  <w:style w:type="character" w:customStyle="1" w:styleId="67">
    <w:name w:val="未处理的提及1"/>
    <w:basedOn w:val="28"/>
    <w:semiHidden/>
    <w:unhideWhenUsed/>
    <w:qFormat/>
    <w:uiPriority w:val="99"/>
    <w:rPr>
      <w:color w:val="605E5C"/>
      <w:shd w:val="clear" w:color="auto" w:fill="E1DFDD"/>
    </w:rPr>
  </w:style>
  <w:style w:type="character" w:styleId="68">
    <w:name w:val="Placeholder Text"/>
    <w:basedOn w:val="28"/>
    <w:semiHidden/>
    <w:qFormat/>
    <w:uiPriority w:val="99"/>
    <w:rPr>
      <w:color w:val="808080"/>
    </w:rPr>
  </w:style>
  <w:style w:type="table" w:customStyle="1" w:styleId="69">
    <w:name w:val="网格型1"/>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2"/>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表 5 深色 - 着色 112"/>
    <w:basedOn w:val="26"/>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74">
    <w:name w:val="网格型5"/>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表 5 深色 - 着色 113"/>
    <w:basedOn w:val="26"/>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76">
    <w:name w:val="网格型6"/>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7"/>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8"/>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qowt-font9-gb2312"/>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73D4-400A-4FCA-BA3E-98A3B3944D66}">
  <ds:schemaRefs/>
</ds:datastoreItem>
</file>

<file path=docProps/app.xml><?xml version="1.0" encoding="utf-8"?>
<Properties xmlns="http://schemas.openxmlformats.org/officeDocument/2006/extended-properties" xmlns:vt="http://schemas.openxmlformats.org/officeDocument/2006/docPropsVTypes">
  <Template>Normal.dotm</Template>
  <Pages>73</Pages>
  <Words>7405</Words>
  <Characters>42210</Characters>
  <Lines>351</Lines>
  <Paragraphs>99</Paragraphs>
  <TotalTime>126</TotalTime>
  <ScaleCrop>false</ScaleCrop>
  <LinksUpToDate>false</LinksUpToDate>
  <CharactersWithSpaces>49516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2021-12-27T03:23:00Z</dcterms:created>
  <dc:creator>zju</dc:creator>
  <cp:lastModifiedBy>czk</cp:lastModifiedBy>
  <cp:lastPrinted>2021-12-20T02:51:00Z</cp:lastPrinted>
  <dcterms:modified xsi:type="dcterms:W3CDTF">2023-06-16T09:40:56Z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154ACA74E06949D3B5B9DFFA48622241</vt:lpwstr>
  </property>
</Properties>
</file>