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val="0"/>
          <w:bCs w:val="0"/>
          <w:sz w:val="44"/>
          <w:szCs w:val="44"/>
        </w:rPr>
      </w:pPr>
      <w:bookmarkStart w:id="0" w:name="_Toc1338"/>
      <w:r>
        <w:rPr>
          <w:rFonts w:hint="eastAsia" w:ascii="方正小标宋简体" w:hAnsi="方正小标宋简体" w:eastAsia="方正小标宋简体" w:cs="方正小标宋简体"/>
          <w:b w:val="0"/>
          <w:bCs w:val="0"/>
          <w:sz w:val="44"/>
          <w:szCs w:val="44"/>
        </w:rPr>
        <w:t>烟台市“十四五”卫生与健康规划</w:t>
      </w:r>
      <w:bookmarkEnd w:id="0"/>
    </w:p>
    <w:p>
      <w:pPr>
        <w:jc w:val="center"/>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征求意见稿</w:t>
      </w:r>
      <w:r>
        <w:rPr>
          <w:rFonts w:hint="eastAsia" w:ascii="仿宋" w:hAnsi="仿宋" w:eastAsia="仿宋" w:cs="仿宋"/>
          <w:b/>
          <w:bCs/>
          <w:sz w:val="32"/>
          <w:szCs w:val="32"/>
        </w:rPr>
        <w:t>）</w:t>
      </w:r>
    </w:p>
    <w:p>
      <w:pPr>
        <w:spacing w:line="360" w:lineRule="auto"/>
        <w:ind w:firstLine="640" w:firstLineChars="200"/>
        <w:jc w:val="center"/>
        <w:rPr>
          <w:rFonts w:hint="eastAsia" w:ascii="仿宋" w:hAnsi="仿宋" w:eastAsia="仿宋" w:cs="仿宋"/>
          <w:sz w:val="32"/>
          <w:szCs w:val="32"/>
        </w:rPr>
      </w:pPr>
    </w:p>
    <w:p>
      <w:pPr>
        <w:pStyle w:val="4"/>
        <w:widowControl/>
        <w:spacing w:beforeAutospacing="0" w:afterAutospacing="0" w:line="360" w:lineRule="auto"/>
        <w:ind w:firstLine="640" w:firstLineChars="200"/>
        <w:jc w:val="both"/>
        <w:rPr>
          <w:rFonts w:hint="eastAsia" w:ascii="仿宋" w:hAnsi="仿宋" w:eastAsia="仿宋" w:cs="仿宋"/>
          <w:b w:val="0"/>
          <w:bCs/>
          <w:sz w:val="32"/>
          <w:szCs w:val="32"/>
        </w:rPr>
      </w:pPr>
      <w:bookmarkStart w:id="1" w:name="_Toc1767"/>
      <w:r>
        <w:rPr>
          <w:rFonts w:hint="eastAsia" w:ascii="仿宋" w:hAnsi="仿宋" w:eastAsia="仿宋" w:cs="仿宋"/>
          <w:b w:val="0"/>
          <w:bCs/>
          <w:sz w:val="32"/>
          <w:szCs w:val="32"/>
        </w:rPr>
        <w:t>“十四五”时期，是全面深化卫生健康事业改革的关键时期，也是优化我市卫生健康事业体系，促进卫生健康事业全面、协调、可持续发展的重要时期。为持续推进健康烟台建设，提高全民健康水平，结合我市卫生健康事业实际，制定本规划。</w:t>
      </w:r>
      <w:r>
        <w:rPr>
          <w:rFonts w:hint="eastAsia" w:ascii="仿宋" w:hAnsi="仿宋" w:eastAsia="仿宋" w:cs="仿宋"/>
          <w:b w:val="0"/>
          <w:bCs/>
          <w:sz w:val="32"/>
          <w:szCs w:val="32"/>
        </w:rPr>
        <w:br w:type="textWrapping"/>
      </w:r>
      <w:r>
        <w:rPr>
          <w:rStyle w:val="14"/>
          <w:rFonts w:hint="eastAsia"/>
          <w:b/>
        </w:rPr>
        <w:t>　　</w:t>
      </w:r>
      <w:r>
        <w:rPr>
          <w:rStyle w:val="14"/>
          <w:rFonts w:hint="eastAsia" w:ascii="黑体" w:hAnsi="黑体" w:eastAsia="黑体" w:cs="黑体"/>
          <w:b w:val="0"/>
          <w:bCs w:val="0"/>
          <w:sz w:val="32"/>
          <w:szCs w:val="32"/>
        </w:rPr>
        <w:t>一、规划背景</w:t>
      </w:r>
      <w:r>
        <w:rPr>
          <w:rFonts w:hint="eastAsia" w:ascii="仿宋" w:hAnsi="仿宋" w:eastAsia="仿宋" w:cs="仿宋"/>
          <w:b/>
          <w:bCs w:val="0"/>
          <w:sz w:val="32"/>
          <w:szCs w:val="32"/>
        </w:rPr>
        <w:br w:type="textWrapping"/>
      </w:r>
      <w:r>
        <w:rPr>
          <w:rFonts w:hint="eastAsia" w:ascii="仿宋" w:hAnsi="仿宋" w:eastAsia="仿宋" w:cs="仿宋"/>
          <w:b w:val="0"/>
          <w:bCs/>
          <w:sz w:val="32"/>
          <w:szCs w:val="32"/>
        </w:rPr>
        <w:t>　　“十三五”以来，我市坚持把人民健康放在优先发展的战略位置，以维护和增进人民群众健康为宗旨，贯彻新时代卫生与健康工作方针，持续深化医药卫生体制改革，逐步完善以健康为中心的医疗卫生服务</w:t>
      </w:r>
      <w:r>
        <w:rPr>
          <w:rFonts w:hint="eastAsia" w:ascii="仿宋" w:hAnsi="仿宋" w:eastAsia="仿宋" w:cs="仿宋"/>
          <w:b w:val="0"/>
          <w:bCs/>
          <w:color w:val="auto"/>
          <w:sz w:val="32"/>
          <w:szCs w:val="32"/>
        </w:rPr>
        <w:t>体系，卫生健康事业取得长足发展，“十三五”规划的主要目标和任务如期完成，人民群众健康水平持续提高，为“十四五”时期继续全面深化医疗健康事业改革，实现我市卫生健康事业跨越式发</w:t>
      </w:r>
      <w:r>
        <w:rPr>
          <w:rFonts w:hint="eastAsia" w:ascii="仿宋" w:hAnsi="仿宋" w:eastAsia="仿宋" w:cs="仿宋"/>
          <w:b w:val="0"/>
          <w:bCs/>
          <w:sz w:val="32"/>
          <w:szCs w:val="32"/>
        </w:rPr>
        <w:t>展奠定了坚实基础。</w:t>
      </w:r>
      <w:bookmarkEnd w:id="1"/>
    </w:p>
    <w:p>
      <w:pPr>
        <w:pStyle w:val="4"/>
        <w:widowControl/>
        <w:spacing w:beforeAutospacing="0" w:afterAutospacing="0" w:line="360" w:lineRule="auto"/>
        <w:ind w:firstLine="640" w:firstLineChars="200"/>
        <w:jc w:val="both"/>
        <w:rPr>
          <w:rFonts w:hint="eastAsia" w:ascii="仿宋" w:hAnsi="仿宋" w:eastAsia="仿宋" w:cs="仿宋"/>
          <w:b w:val="0"/>
          <w:bCs/>
          <w:sz w:val="32"/>
          <w:szCs w:val="32"/>
        </w:rPr>
      </w:pPr>
      <w:bookmarkStart w:id="2" w:name="_Toc23064"/>
      <w:r>
        <w:rPr>
          <w:rStyle w:val="15"/>
          <w:rFonts w:hint="eastAsia" w:ascii="楷体" w:hAnsi="楷体" w:eastAsia="楷体" w:cs="楷体"/>
          <w:b w:val="0"/>
          <w:bCs w:val="0"/>
          <w:sz w:val="32"/>
          <w:szCs w:val="32"/>
        </w:rPr>
        <w:t>（一）“十三五”时期取得的成绩</w:t>
      </w:r>
      <w:r>
        <w:rPr>
          <w:rFonts w:hint="eastAsia" w:ascii="楷体" w:hAnsi="楷体" w:eastAsia="楷体" w:cs="楷体"/>
          <w:b w:val="0"/>
          <w:bCs w:val="0"/>
          <w:sz w:val="32"/>
          <w:szCs w:val="32"/>
        </w:rPr>
        <w:t>。</w:t>
      </w:r>
      <w:r>
        <w:rPr>
          <w:rFonts w:hint="eastAsia" w:ascii="仿宋" w:hAnsi="仿宋" w:eastAsia="仿宋" w:cs="仿宋"/>
          <w:b w:val="0"/>
          <w:bCs/>
          <w:color w:val="auto"/>
          <w:sz w:val="32"/>
          <w:szCs w:val="32"/>
          <w:lang w:val="en-US" w:eastAsia="zh-CN"/>
        </w:rPr>
        <w:t>我</w:t>
      </w:r>
      <w:r>
        <w:rPr>
          <w:rFonts w:hint="eastAsia" w:ascii="仿宋" w:hAnsi="仿宋" w:eastAsia="仿宋" w:cs="仿宋"/>
          <w:b w:val="0"/>
          <w:bCs/>
          <w:color w:val="auto"/>
          <w:sz w:val="32"/>
          <w:szCs w:val="32"/>
        </w:rPr>
        <w:t>市居民健康素质持续改善，人均预期寿命达到</w:t>
      </w:r>
      <w:r>
        <w:rPr>
          <w:rFonts w:hint="eastAsia" w:ascii="仿宋" w:hAnsi="仿宋" w:eastAsia="仿宋" w:cs="仿宋"/>
          <w:b w:val="0"/>
          <w:bCs/>
          <w:color w:val="auto"/>
          <w:sz w:val="32"/>
          <w:szCs w:val="32"/>
          <w:lang w:val="en-US" w:eastAsia="zh-CN"/>
        </w:rPr>
        <w:t>80</w:t>
      </w:r>
      <w:r>
        <w:rPr>
          <w:rFonts w:hint="eastAsia" w:ascii="仿宋" w:hAnsi="仿宋" w:eastAsia="仿宋" w:cs="仿宋"/>
          <w:b w:val="0"/>
          <w:bCs/>
          <w:color w:val="auto"/>
          <w:sz w:val="32"/>
          <w:szCs w:val="32"/>
        </w:rPr>
        <w:t>.5岁，孕产妇死亡率</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婴儿死亡率</w:t>
      </w:r>
      <w:r>
        <w:rPr>
          <w:rFonts w:hint="eastAsia" w:ascii="仿宋" w:hAnsi="仿宋" w:eastAsia="仿宋" w:cs="仿宋"/>
          <w:b w:val="0"/>
          <w:bCs/>
          <w:color w:val="auto"/>
          <w:sz w:val="32"/>
          <w:szCs w:val="32"/>
          <w:lang w:eastAsia="zh-CN"/>
        </w:rPr>
        <w:t>和</w:t>
      </w:r>
      <w:r>
        <w:rPr>
          <w:rFonts w:hint="eastAsia" w:ascii="仿宋" w:hAnsi="仿宋" w:eastAsia="仿宋" w:cs="仿宋"/>
          <w:b w:val="0"/>
          <w:bCs/>
          <w:color w:val="auto"/>
          <w:sz w:val="32"/>
          <w:szCs w:val="32"/>
          <w:lang w:val="en-US" w:eastAsia="zh-CN"/>
        </w:rPr>
        <w:t>5岁以下儿童死亡率</w:t>
      </w:r>
      <w:r>
        <w:rPr>
          <w:rFonts w:hint="eastAsia" w:ascii="仿宋" w:hAnsi="仿宋" w:eastAsia="仿宋" w:cs="仿宋"/>
          <w:b w:val="0"/>
          <w:bCs/>
          <w:color w:val="auto"/>
          <w:sz w:val="32"/>
          <w:szCs w:val="32"/>
        </w:rPr>
        <w:t>分别降至</w:t>
      </w:r>
      <w:r>
        <w:rPr>
          <w:rFonts w:hint="eastAsia" w:ascii="仿宋" w:hAnsi="仿宋" w:eastAsia="仿宋" w:cs="仿宋"/>
          <w:b w:val="0"/>
          <w:bCs/>
          <w:color w:val="auto"/>
          <w:sz w:val="32"/>
          <w:szCs w:val="32"/>
          <w:lang w:val="en-US" w:eastAsia="zh-CN"/>
        </w:rPr>
        <w:t>2.70</w:t>
      </w:r>
      <w:r>
        <w:rPr>
          <w:rFonts w:hint="eastAsia" w:ascii="仿宋" w:hAnsi="仿宋" w:eastAsia="仿宋" w:cs="仿宋"/>
          <w:b w:val="0"/>
          <w:bCs/>
          <w:color w:val="auto"/>
          <w:sz w:val="32"/>
          <w:szCs w:val="32"/>
        </w:rPr>
        <w:t>/10万</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2.29</w:t>
      </w: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eastAsia="zh-CN"/>
        </w:rPr>
        <w:t>和</w:t>
      </w:r>
      <w:r>
        <w:rPr>
          <w:rFonts w:hint="eastAsia" w:ascii="仿宋" w:hAnsi="仿宋" w:eastAsia="仿宋" w:cs="仿宋"/>
          <w:b w:val="0"/>
          <w:bCs/>
          <w:color w:val="auto"/>
          <w:sz w:val="32"/>
          <w:szCs w:val="32"/>
          <w:lang w:val="en-US" w:eastAsia="zh-CN"/>
        </w:rPr>
        <w:t>3.40</w:t>
      </w: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val="en-US" w:eastAsia="zh-CN"/>
        </w:rPr>
        <w:t>。</w:t>
      </w:r>
      <w:r>
        <w:rPr>
          <w:rFonts w:hint="eastAsia" w:ascii="仿宋" w:hAnsi="仿宋" w:eastAsia="仿宋" w:cs="仿宋"/>
          <w:b w:val="0"/>
          <w:bCs/>
          <w:color w:val="auto"/>
          <w:sz w:val="32"/>
          <w:szCs w:val="32"/>
        </w:rPr>
        <w:t>主要健康指标</w:t>
      </w:r>
      <w:r>
        <w:rPr>
          <w:rFonts w:hint="eastAsia" w:ascii="仿宋" w:hAnsi="仿宋" w:eastAsia="仿宋" w:cs="仿宋"/>
          <w:b w:val="0"/>
          <w:bCs/>
          <w:color w:val="auto"/>
          <w:sz w:val="32"/>
          <w:szCs w:val="32"/>
          <w:lang w:val="en-US" w:eastAsia="zh-CN"/>
        </w:rPr>
        <w:t>位</w:t>
      </w:r>
      <w:r>
        <w:rPr>
          <w:rFonts w:hint="eastAsia" w:ascii="仿宋" w:hAnsi="仿宋" w:eastAsia="仿宋" w:cs="仿宋"/>
          <w:b w:val="0"/>
          <w:bCs/>
          <w:color w:val="auto"/>
          <w:sz w:val="32"/>
          <w:szCs w:val="32"/>
        </w:rPr>
        <w:t>居</w:t>
      </w:r>
      <w:r>
        <w:rPr>
          <w:rFonts w:hint="eastAsia" w:ascii="仿宋" w:hAnsi="仿宋" w:eastAsia="仿宋" w:cs="仿宋"/>
          <w:b w:val="0"/>
          <w:bCs/>
          <w:color w:val="auto"/>
          <w:sz w:val="32"/>
          <w:szCs w:val="32"/>
          <w:lang w:val="en-US" w:eastAsia="zh-CN"/>
        </w:rPr>
        <w:t>全省</w:t>
      </w:r>
      <w:r>
        <w:rPr>
          <w:rFonts w:hint="eastAsia" w:ascii="仿宋" w:hAnsi="仿宋" w:eastAsia="仿宋" w:cs="仿宋"/>
          <w:b w:val="0"/>
          <w:bCs/>
          <w:color w:val="auto"/>
          <w:sz w:val="32"/>
          <w:szCs w:val="32"/>
        </w:rPr>
        <w:t>前列</w:t>
      </w:r>
      <w:r>
        <w:rPr>
          <w:rFonts w:hint="eastAsia" w:ascii="仿宋" w:hAnsi="仿宋" w:eastAsia="仿宋" w:cs="仿宋"/>
          <w:b w:val="0"/>
          <w:bCs/>
          <w:sz w:val="32"/>
          <w:szCs w:val="32"/>
        </w:rPr>
        <w:t>。</w:t>
      </w:r>
      <w:bookmarkEnd w:id="2"/>
    </w:p>
    <w:p>
      <w:pPr>
        <w:spacing w:line="360" w:lineRule="auto"/>
        <w:ind w:firstLine="640" w:firstLineChars="200"/>
        <w:rPr>
          <w:rFonts w:hint="eastAsia" w:ascii="仿宋" w:hAnsi="仿宋" w:eastAsia="仿宋" w:cs="仿宋"/>
          <w:sz w:val="32"/>
          <w:szCs w:val="32"/>
        </w:rPr>
      </w:pPr>
      <w:r>
        <w:rPr>
          <w:rFonts w:hint="eastAsia" w:ascii="仿宋" w:hAnsi="仿宋" w:eastAsia="仿宋" w:cs="仿宋"/>
          <w:bCs/>
          <w:sz w:val="32"/>
          <w:szCs w:val="32"/>
        </w:rPr>
        <w:t>——</w:t>
      </w:r>
      <w:r>
        <w:rPr>
          <w:rFonts w:hint="eastAsia" w:ascii="仿宋" w:hAnsi="仿宋" w:eastAsia="仿宋" w:cs="仿宋"/>
          <w:b/>
          <w:kern w:val="0"/>
          <w:sz w:val="32"/>
          <w:szCs w:val="32"/>
          <w:lang w:val="zh-CN"/>
        </w:rPr>
        <w:t>健康烟台建设加快推进。</w:t>
      </w:r>
      <w:r>
        <w:rPr>
          <w:rFonts w:hint="eastAsia" w:ascii="仿宋" w:hAnsi="仿宋" w:eastAsia="仿宋" w:cs="仿宋"/>
          <w:kern w:val="0"/>
          <w:sz w:val="32"/>
          <w:szCs w:val="32"/>
        </w:rPr>
        <w:t>成立健康中国行动烟台推进委员会，印发《关于贯彻健康中国行动推进健康烟台建设的实施方案》，制定《健康烟台行动（2020-2022年）》。深入开展爱国卫生工作，全市创建国家卫生乡镇总数达到27个，省级卫生乡镇总数达到85个，省级卫生村总数达到2802个，健康细胞总数达到517个。</w:t>
      </w:r>
    </w:p>
    <w:p>
      <w:pPr>
        <w:ind w:firstLine="643" w:firstLineChars="200"/>
        <w:rPr>
          <w:rFonts w:hint="eastAsia" w:ascii="仿宋" w:hAnsi="仿宋" w:eastAsia="仿宋" w:cs="仿宋"/>
          <w:kern w:val="0"/>
          <w:sz w:val="32"/>
          <w:szCs w:val="32"/>
        </w:rPr>
      </w:pPr>
      <w:r>
        <w:rPr>
          <w:rFonts w:hint="eastAsia" w:ascii="仿宋" w:hAnsi="仿宋" w:eastAsia="仿宋" w:cs="仿宋"/>
          <w:b/>
          <w:sz w:val="32"/>
          <w:szCs w:val="32"/>
        </w:rPr>
        <w:t>——医药卫生体制改革取得新实效。</w:t>
      </w:r>
      <w:r>
        <w:rPr>
          <w:rFonts w:hint="eastAsia" w:ascii="仿宋" w:hAnsi="仿宋" w:eastAsia="仿宋" w:cs="仿宋"/>
          <w:kern w:val="0"/>
          <w:sz w:val="32"/>
          <w:szCs w:val="32"/>
        </w:rPr>
        <w:t>全面推开公立医院综合改革，巩固完善基本药物制度和医疗卫生综合监管制度，“基层首诊、双向转诊、急慢分治、上下联动”的分级诊疗就医新格局初步建立。公立医院次均住院费用增幅由2015年的22.3%下降至2020年的8.8%。建立城乡统一的居民医保制度和大病保险制度，统筹推进以按病种付费为主的多元复合式支付方式改革，“三医联动”取得新突破，政策范围内住院费用医保支付比例提高至75%，个人卫生支出占总费用比例下降至</w:t>
      </w:r>
      <w:r>
        <w:rPr>
          <w:rFonts w:hint="eastAsia" w:ascii="仿宋" w:hAnsi="仿宋" w:eastAsia="仿宋" w:cs="仿宋"/>
          <w:kern w:val="0"/>
          <w:sz w:val="32"/>
          <w:szCs w:val="32"/>
          <w:lang w:val="en-US" w:eastAsia="zh-CN"/>
        </w:rPr>
        <w:t>28</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左右</w:t>
      </w:r>
      <w:r>
        <w:rPr>
          <w:rFonts w:hint="eastAsia" w:ascii="仿宋" w:hAnsi="仿宋" w:eastAsia="仿宋" w:cs="仿宋"/>
          <w:kern w:val="0"/>
          <w:sz w:val="32"/>
          <w:szCs w:val="32"/>
        </w:rPr>
        <w:t>。</w:t>
      </w:r>
    </w:p>
    <w:p>
      <w:pPr>
        <w:spacing w:line="360" w:lineRule="auto"/>
        <w:ind w:firstLine="643" w:firstLineChars="200"/>
        <w:rPr>
          <w:rFonts w:hint="eastAsia" w:ascii="仿宋" w:hAnsi="仿宋" w:eastAsia="仿宋" w:cs="仿宋"/>
          <w:color w:val="auto"/>
          <w:kern w:val="0"/>
          <w:sz w:val="32"/>
          <w:szCs w:val="32"/>
        </w:rPr>
      </w:pPr>
      <w:r>
        <w:rPr>
          <w:rFonts w:hint="eastAsia" w:ascii="仿宋" w:hAnsi="仿宋" w:eastAsia="仿宋" w:cs="仿宋"/>
          <w:b/>
          <w:sz w:val="32"/>
          <w:szCs w:val="32"/>
        </w:rPr>
        <w:t>——重大疾病防控成效显著。</w:t>
      </w:r>
      <w:r>
        <w:rPr>
          <w:rFonts w:hint="eastAsia" w:ascii="仿宋" w:hAnsi="仿宋" w:eastAsia="仿宋" w:cs="仿宋"/>
          <w:kern w:val="0"/>
          <w:sz w:val="32"/>
          <w:szCs w:val="32"/>
        </w:rPr>
        <w:t>新冠肺炎疫情得到有效控制</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市县两级疾病预防控制中心全部建成生物安全二级实验室</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持续提升核酸检测能力</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加强医疗机构院感防控</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严格落实“四早、四集中”要求，构建由市县15家定点医院、33个发热门诊、16支医疗队组成的救治体系，建立三甲综合医院分片指导帮扶机制，将确诊患者全部转至市级定点医院集中救治，抽调中西医专家进驻，有效提升救治能力，实现患者零死亡。</w:t>
      </w:r>
      <w:r>
        <w:rPr>
          <w:rFonts w:hint="eastAsia" w:ascii="仿宋" w:hAnsi="仿宋" w:eastAsia="仿宋" w:cs="仿宋"/>
          <w:color w:val="auto"/>
          <w:kern w:val="0"/>
          <w:sz w:val="32"/>
          <w:szCs w:val="32"/>
          <w:lang w:eastAsia="zh-CN"/>
        </w:rPr>
        <w:t>肺结核等</w:t>
      </w:r>
      <w:r>
        <w:rPr>
          <w:rFonts w:hint="eastAsia" w:ascii="仿宋" w:hAnsi="仿宋" w:eastAsia="仿宋" w:cs="仿宋"/>
          <w:bCs/>
          <w:color w:val="auto"/>
          <w:sz w:val="32"/>
          <w:szCs w:val="32"/>
        </w:rPr>
        <w:t>传染病有效控制，</w:t>
      </w:r>
      <w:r>
        <w:rPr>
          <w:rFonts w:hint="eastAsia" w:ascii="仿宋" w:hAnsi="仿宋" w:eastAsia="仿宋" w:cs="仿宋"/>
          <w:bCs/>
          <w:color w:val="auto"/>
          <w:sz w:val="32"/>
          <w:szCs w:val="32"/>
          <w:lang w:val="en-US" w:eastAsia="zh-CN"/>
        </w:rPr>
        <w:t>高血压、糖尿病等</w:t>
      </w:r>
      <w:r>
        <w:rPr>
          <w:rFonts w:hint="eastAsia" w:ascii="仿宋" w:hAnsi="仿宋" w:eastAsia="仿宋" w:cs="仿宋"/>
          <w:color w:val="auto"/>
          <w:kern w:val="0"/>
          <w:sz w:val="32"/>
          <w:szCs w:val="32"/>
        </w:rPr>
        <w:t>慢病防治到位，精神卫生服务网络不断健全，在册登记严重精神障碍患者实现免费救治。</w:t>
      </w:r>
    </w:p>
    <w:p>
      <w:pPr>
        <w:spacing w:line="360" w:lineRule="auto"/>
        <w:ind w:firstLine="643" w:firstLineChars="200"/>
        <w:rPr>
          <w:rFonts w:hint="eastAsia" w:ascii="仿宋" w:hAnsi="仿宋" w:eastAsia="仿宋" w:cs="仿宋"/>
          <w:kern w:val="0"/>
          <w:sz w:val="32"/>
          <w:szCs w:val="32"/>
        </w:rPr>
      </w:pPr>
      <w:r>
        <w:rPr>
          <w:rFonts w:hint="eastAsia" w:ascii="仿宋" w:hAnsi="仿宋" w:eastAsia="仿宋" w:cs="仿宋"/>
          <w:b/>
          <w:sz w:val="32"/>
          <w:szCs w:val="32"/>
        </w:rPr>
        <w:t>——</w:t>
      </w:r>
      <w:r>
        <w:rPr>
          <w:rFonts w:hint="eastAsia" w:ascii="仿宋" w:hAnsi="仿宋" w:eastAsia="仿宋" w:cs="仿宋"/>
          <w:b/>
          <w:bCs/>
          <w:kern w:val="0"/>
          <w:sz w:val="32"/>
          <w:szCs w:val="32"/>
        </w:rPr>
        <w:t>医疗服务能力大幅提升。</w:t>
      </w:r>
      <w:r>
        <w:rPr>
          <w:rFonts w:hint="eastAsia" w:ascii="仿宋" w:hAnsi="仿宋" w:eastAsia="仿宋" w:cs="仿宋"/>
          <w:kern w:val="0"/>
          <w:sz w:val="32"/>
          <w:szCs w:val="32"/>
        </w:rPr>
        <w:t>推进“名医名科名院”工程，对标国内省内先进水平，大力发展高端专科，带动区域医疗机构、临床专科诊疗服务能力快速提升，38个专业获评省级重点专科，公布68个市重点学科，55个市重点专业。烟台山医院、</w:t>
      </w:r>
      <w:r>
        <w:rPr>
          <w:rFonts w:hint="eastAsia" w:ascii="仿宋" w:hAnsi="仿宋" w:eastAsia="仿宋" w:cs="仿宋"/>
          <w:kern w:val="0"/>
          <w:sz w:val="32"/>
          <w:szCs w:val="32"/>
          <w:lang w:eastAsia="zh-CN"/>
        </w:rPr>
        <w:t>市</w:t>
      </w:r>
      <w:r>
        <w:rPr>
          <w:rFonts w:hint="eastAsia" w:ascii="仿宋" w:hAnsi="仿宋" w:eastAsia="仿宋" w:cs="仿宋"/>
          <w:kern w:val="0"/>
          <w:sz w:val="32"/>
          <w:szCs w:val="32"/>
        </w:rPr>
        <w:t>口腔医院成功创建规培基地。基层医疗卫生服务模式创新，组建1940支家庭医生签约服务团队，共签约</w:t>
      </w:r>
      <w:r>
        <w:rPr>
          <w:rFonts w:hint="eastAsia" w:ascii="仿宋" w:hAnsi="仿宋" w:eastAsia="仿宋" w:cs="仿宋"/>
          <w:color w:val="auto"/>
          <w:kern w:val="0"/>
          <w:sz w:val="32"/>
          <w:szCs w:val="32"/>
          <w:lang w:val="en-US" w:eastAsia="zh-CN"/>
        </w:rPr>
        <w:t>252</w:t>
      </w:r>
      <w:r>
        <w:rPr>
          <w:rFonts w:hint="eastAsia" w:ascii="仿宋" w:hAnsi="仿宋" w:eastAsia="仿宋" w:cs="仿宋"/>
          <w:color w:val="auto"/>
          <w:kern w:val="0"/>
          <w:sz w:val="32"/>
          <w:szCs w:val="32"/>
        </w:rPr>
        <w:t>万余</w:t>
      </w:r>
      <w:r>
        <w:rPr>
          <w:rFonts w:hint="eastAsia" w:ascii="仿宋" w:hAnsi="仿宋" w:eastAsia="仿宋" w:cs="仿宋"/>
          <w:kern w:val="0"/>
          <w:sz w:val="32"/>
          <w:szCs w:val="32"/>
        </w:rPr>
        <w:t>人，统筹推进疫情防控与基层卫生，代购送药、上门诊疗8000余人次。基本公共卫生服务持续推进，全市0—6岁儿童、孕产妇和老年人规范管理率分别达到92.8%、92.4%和71.1%，高血压患者和糖尿病患者规范管理率达到68.8%和68.3%。</w:t>
      </w:r>
    </w:p>
    <w:p>
      <w:pPr>
        <w:spacing w:line="360" w:lineRule="auto"/>
        <w:ind w:firstLine="643" w:firstLineChars="200"/>
        <w:rPr>
          <w:rFonts w:hint="eastAsia" w:ascii="仿宋" w:hAnsi="仿宋" w:eastAsia="仿宋" w:cs="仿宋"/>
          <w:color w:val="auto"/>
          <w:kern w:val="0"/>
          <w:sz w:val="32"/>
          <w:szCs w:val="32"/>
        </w:rPr>
      </w:pPr>
      <w:r>
        <w:rPr>
          <w:rFonts w:hint="eastAsia" w:ascii="仿宋" w:hAnsi="仿宋" w:eastAsia="仿宋" w:cs="仿宋"/>
          <w:b/>
          <w:bCs w:val="0"/>
          <w:color w:val="auto"/>
          <w:sz w:val="32"/>
          <w:szCs w:val="32"/>
        </w:rPr>
        <w:t>——</w:t>
      </w:r>
      <w:r>
        <w:rPr>
          <w:rFonts w:hint="eastAsia" w:ascii="仿宋" w:hAnsi="仿宋" w:eastAsia="仿宋" w:cs="仿宋"/>
          <w:b/>
          <w:bCs w:val="0"/>
          <w:color w:val="auto"/>
          <w:kern w:val="0"/>
          <w:sz w:val="32"/>
          <w:szCs w:val="32"/>
        </w:rPr>
        <w:t>中医药传承创新发展加速推进。</w:t>
      </w:r>
      <w:r>
        <w:rPr>
          <w:rFonts w:hint="eastAsia" w:ascii="仿宋" w:hAnsi="仿宋" w:eastAsia="仿宋" w:cs="仿宋"/>
          <w:color w:val="auto"/>
          <w:kern w:val="0"/>
          <w:sz w:val="32"/>
          <w:szCs w:val="32"/>
        </w:rPr>
        <w:t>蓬莱中医医院通过三甲中医医院评审验收，全市三甲中医医院达到3所。</w:t>
      </w:r>
      <w:r>
        <w:rPr>
          <w:rFonts w:hint="eastAsia" w:ascii="仿宋" w:hAnsi="仿宋" w:eastAsia="仿宋" w:cs="仿宋"/>
          <w:color w:val="auto"/>
          <w:kern w:val="0"/>
          <w:sz w:val="32"/>
          <w:szCs w:val="32"/>
          <w:lang w:eastAsia="zh-CN"/>
        </w:rPr>
        <w:t>创建</w:t>
      </w:r>
      <w:r>
        <w:rPr>
          <w:rFonts w:hint="eastAsia" w:ascii="仿宋" w:hAnsi="仿宋" w:eastAsia="仿宋" w:cs="仿宋"/>
          <w:color w:val="auto"/>
          <w:kern w:val="0"/>
          <w:sz w:val="32"/>
          <w:szCs w:val="32"/>
        </w:rPr>
        <w:t>省级中医专科专病诊疗中心</w:t>
      </w:r>
      <w:r>
        <w:rPr>
          <w:rFonts w:hint="eastAsia" w:ascii="仿宋" w:hAnsi="仿宋" w:eastAsia="仿宋" w:cs="仿宋"/>
          <w:color w:val="auto"/>
          <w:kern w:val="0"/>
          <w:sz w:val="32"/>
          <w:szCs w:val="32"/>
          <w:lang w:val="en-US" w:eastAsia="zh-CN"/>
        </w:rPr>
        <w:t>1个</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2个</w:t>
      </w:r>
      <w:r>
        <w:rPr>
          <w:rFonts w:hint="eastAsia" w:ascii="仿宋" w:hAnsi="仿宋" w:eastAsia="仿宋" w:cs="仿宋"/>
          <w:color w:val="auto"/>
          <w:kern w:val="0"/>
          <w:sz w:val="32"/>
          <w:szCs w:val="32"/>
        </w:rPr>
        <w:t>国家临床重点专科（中医专业）建设项目通过考核评估</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新创建10个省</w:t>
      </w:r>
      <w:r>
        <w:rPr>
          <w:rFonts w:hint="eastAsia" w:ascii="仿宋" w:hAnsi="仿宋" w:eastAsia="仿宋" w:cs="仿宋"/>
          <w:color w:val="auto"/>
          <w:kern w:val="0"/>
          <w:sz w:val="32"/>
          <w:szCs w:val="32"/>
          <w:lang w:eastAsia="zh-CN"/>
        </w:rPr>
        <w:t>级</w:t>
      </w:r>
      <w:r>
        <w:rPr>
          <w:rFonts w:hint="eastAsia" w:ascii="仿宋" w:hAnsi="仿宋" w:eastAsia="仿宋" w:cs="仿宋"/>
          <w:color w:val="auto"/>
          <w:kern w:val="0"/>
          <w:sz w:val="32"/>
          <w:szCs w:val="32"/>
        </w:rPr>
        <w:t>、39个市级“十三五”中医药重点专科，17个重点专科入选齐鲁中医药优势专科集群成员专科。建成基层医疗卫生机构中医药综合服务区147个，实施省级基层中医特色技术挖掘提升项目18个。创建省级中医药文化宣传教育基地1个、示范单位6个，省级中医药健康旅游示范项目5个。</w:t>
      </w:r>
    </w:p>
    <w:p>
      <w:pPr>
        <w:spacing w:line="360" w:lineRule="auto"/>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医养健康</w:t>
      </w:r>
      <w:r>
        <w:rPr>
          <w:rFonts w:hint="eastAsia" w:ascii="仿宋" w:hAnsi="仿宋" w:eastAsia="仿宋" w:cs="仿宋"/>
          <w:color w:val="auto"/>
          <w:kern w:val="0"/>
          <w:sz w:val="32"/>
          <w:szCs w:val="32"/>
        </w:rPr>
        <w:t>产业</w:t>
      </w:r>
      <w:r>
        <w:rPr>
          <w:rFonts w:hint="eastAsia" w:ascii="仿宋" w:hAnsi="仿宋" w:eastAsia="仿宋" w:cs="仿宋"/>
          <w:color w:val="auto"/>
          <w:kern w:val="0"/>
          <w:sz w:val="32"/>
          <w:szCs w:val="32"/>
          <w:lang w:eastAsia="zh-CN"/>
        </w:rPr>
        <w:t>持续健康发展。医养健康</w:t>
      </w:r>
      <w:r>
        <w:rPr>
          <w:rFonts w:hint="eastAsia" w:ascii="仿宋" w:hAnsi="仿宋" w:eastAsia="仿宋" w:cs="仿宋"/>
          <w:color w:val="auto"/>
          <w:kern w:val="0"/>
          <w:sz w:val="32"/>
          <w:szCs w:val="32"/>
        </w:rPr>
        <w:t>产业</w:t>
      </w:r>
      <w:r>
        <w:rPr>
          <w:rFonts w:hint="eastAsia" w:ascii="仿宋" w:hAnsi="仿宋" w:eastAsia="仿宋" w:cs="仿宋"/>
          <w:color w:val="auto"/>
          <w:kern w:val="0"/>
          <w:sz w:val="32"/>
          <w:szCs w:val="32"/>
          <w:lang w:eastAsia="zh-CN"/>
        </w:rPr>
        <w:t>成为</w:t>
      </w:r>
      <w:r>
        <w:rPr>
          <w:rFonts w:hint="eastAsia" w:ascii="仿宋" w:hAnsi="仿宋" w:eastAsia="仿宋" w:cs="仿宋"/>
          <w:color w:val="auto"/>
          <w:kern w:val="0"/>
          <w:sz w:val="32"/>
          <w:szCs w:val="32"/>
        </w:rPr>
        <w:t>我市</w:t>
      </w:r>
      <w:r>
        <w:rPr>
          <w:rFonts w:hint="eastAsia" w:ascii="仿宋" w:hAnsi="仿宋" w:eastAsia="仿宋" w:cs="仿宋"/>
          <w:color w:val="auto"/>
          <w:kern w:val="0"/>
          <w:sz w:val="32"/>
          <w:szCs w:val="32"/>
          <w:lang w:eastAsia="zh-CN"/>
        </w:rPr>
        <w:t>新旧动能转换</w:t>
      </w:r>
      <w:r>
        <w:rPr>
          <w:rFonts w:hint="eastAsia" w:ascii="仿宋" w:hAnsi="仿宋" w:eastAsia="仿宋" w:cs="仿宋"/>
          <w:color w:val="auto"/>
          <w:kern w:val="0"/>
          <w:sz w:val="32"/>
          <w:szCs w:val="32"/>
        </w:rPr>
        <w:t>重点培育的优势产业</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2019年，生物医药产业集群成功入选全国首批战略性新兴产业集群，医药健康产业集群入选山东省首批“十强”产业“雁阵型”集群库。2020年全市</w:t>
      </w:r>
      <w:r>
        <w:rPr>
          <w:rFonts w:hint="eastAsia" w:ascii="仿宋" w:hAnsi="仿宋" w:eastAsia="仿宋" w:cs="仿宋"/>
          <w:color w:val="auto"/>
          <w:kern w:val="0"/>
          <w:sz w:val="32"/>
          <w:szCs w:val="32"/>
          <w:lang w:eastAsia="zh-CN"/>
        </w:rPr>
        <w:t>医养健康产业</w:t>
      </w:r>
      <w:r>
        <w:rPr>
          <w:rFonts w:hint="eastAsia" w:ascii="仿宋" w:hAnsi="仿宋" w:eastAsia="仿宋" w:cs="仿宋"/>
          <w:color w:val="auto"/>
          <w:kern w:val="0"/>
          <w:sz w:val="32"/>
          <w:szCs w:val="32"/>
        </w:rPr>
        <w:t>总收入达到1</w:t>
      </w:r>
      <w:r>
        <w:rPr>
          <w:rFonts w:hint="eastAsia" w:ascii="仿宋" w:hAnsi="仿宋" w:eastAsia="仿宋" w:cs="仿宋"/>
          <w:color w:val="auto"/>
          <w:kern w:val="0"/>
          <w:sz w:val="32"/>
          <w:szCs w:val="32"/>
          <w:lang w:val="en-US" w:eastAsia="zh-CN"/>
        </w:rPr>
        <w:t>230</w:t>
      </w:r>
      <w:r>
        <w:rPr>
          <w:rFonts w:hint="eastAsia" w:ascii="仿宋" w:hAnsi="仿宋" w:eastAsia="仿宋" w:cs="仿宋"/>
          <w:color w:val="auto"/>
          <w:kern w:val="0"/>
          <w:sz w:val="32"/>
          <w:szCs w:val="32"/>
        </w:rPr>
        <w:t>亿元，对全市经济发展贡献</w:t>
      </w:r>
      <w:r>
        <w:rPr>
          <w:rFonts w:hint="eastAsia" w:ascii="仿宋" w:hAnsi="仿宋" w:eastAsia="仿宋" w:cs="仿宋"/>
          <w:color w:val="auto"/>
          <w:kern w:val="0"/>
          <w:sz w:val="32"/>
          <w:szCs w:val="32"/>
          <w:lang w:eastAsia="zh-CN"/>
        </w:rPr>
        <w:t>日趋显著</w:t>
      </w:r>
      <w:r>
        <w:rPr>
          <w:rFonts w:hint="eastAsia" w:ascii="仿宋" w:hAnsi="仿宋" w:eastAsia="仿宋" w:cs="仿宋"/>
          <w:color w:val="auto"/>
          <w:kern w:val="0"/>
          <w:sz w:val="32"/>
          <w:szCs w:val="32"/>
        </w:rPr>
        <w:t>。</w:t>
      </w:r>
    </w:p>
    <w:p>
      <w:pPr>
        <w:spacing w:line="360" w:lineRule="auto"/>
        <w:ind w:firstLine="643" w:firstLineChars="200"/>
        <w:rPr>
          <w:rFonts w:hint="eastAsia" w:ascii="仿宋" w:hAnsi="仿宋" w:eastAsia="仿宋" w:cs="仿宋"/>
          <w:kern w:val="0"/>
          <w:sz w:val="32"/>
          <w:szCs w:val="32"/>
        </w:rPr>
      </w:pPr>
      <w:r>
        <w:rPr>
          <w:rFonts w:hint="eastAsia" w:ascii="仿宋" w:hAnsi="仿宋" w:eastAsia="仿宋" w:cs="仿宋"/>
          <w:b/>
          <w:sz w:val="32"/>
          <w:szCs w:val="32"/>
        </w:rPr>
        <w:t>——</w:t>
      </w:r>
      <w:r>
        <w:rPr>
          <w:rFonts w:hint="eastAsia" w:ascii="仿宋" w:hAnsi="仿宋" w:eastAsia="仿宋" w:cs="仿宋"/>
          <w:b/>
          <w:bCs/>
          <w:kern w:val="0"/>
          <w:sz w:val="32"/>
          <w:szCs w:val="32"/>
        </w:rPr>
        <w:t>高质量打造医养结合服务高地。</w:t>
      </w:r>
      <w:r>
        <w:rPr>
          <w:rFonts w:hint="eastAsia" w:ascii="仿宋" w:hAnsi="仿宋" w:eastAsia="仿宋" w:cs="仿宋"/>
          <w:kern w:val="0"/>
          <w:sz w:val="32"/>
          <w:szCs w:val="32"/>
        </w:rPr>
        <w:t>全市医养结合机构总数达到248处以上、床位2.8万张；拓展居家医养服务，依托家庭医生签约服务，为老年人提供居家养老、医疗、康复训练等10大类、50多个小项的医养结合服务；打造医养新业态，开发区磁山温泉小镇、龙口南山养生谷被评为省级康养旅游示范基地；做强“互联网+医养”，与山东广电网络集团合作，依托医养健康智慧服务平台，全市创建智慧健康社区20个。</w:t>
      </w:r>
    </w:p>
    <w:p>
      <w:pPr>
        <w:spacing w:line="360" w:lineRule="auto"/>
        <w:ind w:firstLine="643" w:firstLineChars="200"/>
        <w:rPr>
          <w:rFonts w:hint="eastAsia" w:ascii="仿宋" w:hAnsi="仿宋" w:eastAsia="仿宋" w:cs="仿宋"/>
          <w:color w:val="auto"/>
          <w:kern w:val="0"/>
          <w:sz w:val="32"/>
          <w:szCs w:val="32"/>
        </w:rPr>
      </w:pPr>
      <w:r>
        <w:rPr>
          <w:rFonts w:hint="eastAsia" w:ascii="仿宋" w:hAnsi="仿宋" w:eastAsia="仿宋" w:cs="仿宋"/>
          <w:b/>
          <w:sz w:val="32"/>
          <w:szCs w:val="32"/>
        </w:rPr>
        <w:t>——</w:t>
      </w:r>
      <w:r>
        <w:rPr>
          <w:rFonts w:hint="eastAsia" w:ascii="仿宋" w:hAnsi="仿宋" w:eastAsia="仿宋" w:cs="仿宋"/>
          <w:b/>
          <w:bCs/>
          <w:kern w:val="0"/>
          <w:sz w:val="32"/>
          <w:szCs w:val="32"/>
        </w:rPr>
        <w:t>高层次人才队伍培育壮大。</w:t>
      </w:r>
      <w:r>
        <w:rPr>
          <w:rFonts w:hint="eastAsia" w:ascii="仿宋" w:hAnsi="仿宋" w:eastAsia="仿宋" w:cs="仿宋"/>
          <w:color w:val="auto"/>
          <w:kern w:val="0"/>
          <w:sz w:val="32"/>
          <w:szCs w:val="32"/>
        </w:rPr>
        <w:t>做强高端引领，全系统先后入选“泰山学者”6名，管理期内“泰山学者”数量位居全省各地市首位；14人入选齐鲁卫生健康领军人才，国家和省、市突贡专家达到21人，</w:t>
      </w:r>
      <w:r>
        <w:rPr>
          <w:rFonts w:hint="eastAsia" w:ascii="仿宋_GB2312" w:hAnsi="仿宋_GB2312" w:eastAsia="仿宋_GB2312" w:cs="仿宋_GB2312"/>
          <w:color w:val="auto"/>
          <w:kern w:val="0"/>
          <w:sz w:val="32"/>
          <w:szCs w:val="32"/>
          <w:lang w:val="en-US" w:eastAsia="zh-CN"/>
        </w:rPr>
        <w:t>21人获评省级名中医药专家称号，</w:t>
      </w:r>
      <w:r>
        <w:rPr>
          <w:rFonts w:hint="eastAsia" w:ascii="仿宋" w:hAnsi="仿宋" w:eastAsia="仿宋" w:cs="仿宋"/>
          <w:color w:val="auto"/>
          <w:kern w:val="0"/>
          <w:sz w:val="32"/>
          <w:szCs w:val="32"/>
        </w:rPr>
        <w:t>遴选</w:t>
      </w:r>
      <w:r>
        <w:rPr>
          <w:rFonts w:hint="eastAsia" w:ascii="仿宋" w:hAnsi="仿宋" w:eastAsia="仿宋" w:cs="仿宋"/>
          <w:color w:val="auto"/>
          <w:kern w:val="0"/>
          <w:sz w:val="32"/>
          <w:szCs w:val="32"/>
          <w:lang w:eastAsia="zh-CN"/>
        </w:rPr>
        <w:t>市县两级</w:t>
      </w:r>
      <w:r>
        <w:rPr>
          <w:rFonts w:hint="eastAsia" w:ascii="仿宋" w:hAnsi="仿宋" w:eastAsia="仿宋" w:cs="仿宋"/>
          <w:color w:val="auto"/>
          <w:kern w:val="0"/>
          <w:sz w:val="32"/>
          <w:szCs w:val="32"/>
        </w:rPr>
        <w:t>疾控首席专家31人，10余家单位入选市高层次人才载体单位，有效发挥高层次人才引领作用。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color w:val="auto"/>
          <w:sz w:val="32"/>
          <w:szCs w:val="32"/>
        </w:rPr>
      </w:pPr>
      <w:bookmarkStart w:id="3" w:name="_Toc29704"/>
      <w:r>
        <w:rPr>
          <w:rStyle w:val="15"/>
          <w:rFonts w:hint="eastAsia" w:ascii="楷体" w:hAnsi="楷体" w:eastAsia="楷体" w:cs="楷体"/>
          <w:b w:val="0"/>
          <w:bCs w:val="0"/>
          <w:sz w:val="32"/>
          <w:szCs w:val="32"/>
        </w:rPr>
        <w:t>（二）存在的主要问题</w:t>
      </w:r>
      <w:bookmarkEnd w:id="3"/>
      <w:r>
        <w:rPr>
          <w:rFonts w:hint="eastAsia" w:ascii="楷体" w:hAnsi="楷体" w:eastAsia="楷体" w:cs="楷体"/>
          <w:b w:val="0"/>
          <w:bCs w:val="0"/>
          <w:sz w:val="32"/>
          <w:szCs w:val="32"/>
        </w:rPr>
        <w:t>。</w:t>
      </w:r>
      <w:r>
        <w:rPr>
          <w:rFonts w:hint="eastAsia" w:ascii="仿宋" w:hAnsi="仿宋" w:eastAsia="仿宋" w:cs="仿宋"/>
          <w:sz w:val="32"/>
          <w:szCs w:val="32"/>
        </w:rPr>
        <w:t>一是</w:t>
      </w:r>
      <w:r>
        <w:rPr>
          <w:rFonts w:hint="eastAsia" w:ascii="仿宋" w:hAnsi="仿宋" w:eastAsia="仿宋" w:cs="仿宋"/>
          <w:bCs/>
          <w:sz w:val="32"/>
          <w:szCs w:val="32"/>
        </w:rPr>
        <w:t>医疗卫生资源总量相对不足，</w:t>
      </w:r>
      <w:r>
        <w:rPr>
          <w:rFonts w:hint="eastAsia" w:ascii="仿宋" w:hAnsi="仿宋" w:eastAsia="仿宋" w:cs="仿宋"/>
          <w:bCs/>
          <w:color w:val="auto"/>
          <w:sz w:val="32"/>
          <w:szCs w:val="32"/>
        </w:rPr>
        <w:t>人才资源尤其是基层人才资源缺乏问题突出，</w:t>
      </w:r>
      <w:r>
        <w:rPr>
          <w:rFonts w:hint="eastAsia" w:ascii="仿宋" w:hAnsi="仿宋" w:eastAsia="仿宋" w:cs="仿宋"/>
          <w:bCs/>
          <w:sz w:val="32"/>
          <w:szCs w:val="32"/>
        </w:rPr>
        <w:t>资源配置的结构性问题持续存在，部分学科发展迟缓，学科实力滞后，建设内涵不足。二是</w:t>
      </w:r>
      <w:r>
        <w:rPr>
          <w:rFonts w:hint="eastAsia" w:ascii="仿宋" w:hAnsi="仿宋" w:eastAsia="仿宋" w:cs="仿宋"/>
          <w:sz w:val="32"/>
          <w:szCs w:val="32"/>
        </w:rPr>
        <w:t>医药卫生体制改革有待持续推进，公立医院综合改革有待深化，分级诊疗制度落实还不到位，现代医院管理制度、人事薪酬制度、医保支付方式等改革仍需加快。三是亟需</w:t>
      </w:r>
      <w:r>
        <w:rPr>
          <w:rFonts w:hint="eastAsia" w:ascii="仿宋" w:hAnsi="仿宋" w:eastAsia="仿宋" w:cs="仿宋"/>
          <w:color w:val="auto"/>
          <w:sz w:val="32"/>
          <w:szCs w:val="32"/>
        </w:rPr>
        <w:t>构建平</w:t>
      </w:r>
      <w:r>
        <w:rPr>
          <w:rFonts w:hint="eastAsia" w:ascii="仿宋" w:hAnsi="仿宋" w:eastAsia="仿宋" w:cs="仿宋"/>
          <w:color w:val="auto"/>
          <w:sz w:val="32"/>
          <w:szCs w:val="32"/>
          <w:lang w:val="en-US" w:eastAsia="zh-CN"/>
        </w:rPr>
        <w:t>急</w:t>
      </w:r>
      <w:r>
        <w:rPr>
          <w:rFonts w:hint="eastAsia" w:ascii="仿宋" w:hAnsi="仿宋" w:eastAsia="仿宋" w:cs="仿宋"/>
          <w:color w:val="auto"/>
          <w:sz w:val="32"/>
          <w:szCs w:val="32"/>
        </w:rPr>
        <w:t>结合、科学高效</w:t>
      </w:r>
      <w:r>
        <w:rPr>
          <w:rFonts w:hint="eastAsia" w:ascii="仿宋" w:hAnsi="仿宋" w:eastAsia="仿宋" w:cs="仿宋"/>
          <w:sz w:val="32"/>
          <w:szCs w:val="32"/>
        </w:rPr>
        <w:t>、功能完善的公共卫生体系</w:t>
      </w:r>
      <w:r>
        <w:rPr>
          <w:rFonts w:hint="eastAsia" w:ascii="仿宋" w:hAnsi="仿宋" w:eastAsia="仿宋" w:cs="仿宋"/>
          <w:bCs/>
          <w:sz w:val="32"/>
          <w:szCs w:val="32"/>
        </w:rPr>
        <w:t>，公共卫生人员缺编空编问题严重，重医疗、轻预防的观念和倾向依然存在，医防协同机制有待进一步完善。四是</w:t>
      </w:r>
      <w:r>
        <w:rPr>
          <w:rFonts w:hint="eastAsia" w:ascii="仿宋" w:hAnsi="仿宋" w:eastAsia="仿宋" w:cs="仿宋"/>
          <w:sz w:val="32"/>
          <w:szCs w:val="32"/>
        </w:rPr>
        <w:t>基层卫生仍然是整个卫生健康服务体系中的短板，优质医疗卫生资源下沉力度不够，基层</w:t>
      </w:r>
      <w:r>
        <w:rPr>
          <w:rFonts w:hint="eastAsia" w:ascii="仿宋" w:hAnsi="仿宋" w:eastAsia="仿宋" w:cs="仿宋"/>
          <w:color w:val="auto"/>
          <w:sz w:val="32"/>
          <w:szCs w:val="32"/>
        </w:rPr>
        <w:t>医疗服务能力薄弱，中医药作用尚未得到充分发挥，需要持续加大投入力度。</w:t>
      </w:r>
      <w:r>
        <w:rPr>
          <w:rStyle w:val="15"/>
          <w:rFonts w:hint="eastAsia" w:ascii="仿宋_GB2312" w:hAnsi="仿宋_GB2312" w:eastAsia="仿宋_GB2312" w:cs="仿宋_GB2312"/>
          <w:b w:val="0"/>
          <w:bCs w:val="0"/>
          <w:color w:val="auto"/>
          <w:sz w:val="32"/>
          <w:szCs w:val="32"/>
          <w:lang w:val="en-US" w:eastAsia="zh-CN"/>
        </w:rPr>
        <w:t>五是居家医养结合服务扶持政策单一，服务项目不能满足居家医养服务需求。</w:t>
      </w:r>
    </w:p>
    <w:p>
      <w:pPr>
        <w:spacing w:line="360" w:lineRule="auto"/>
        <w:ind w:firstLine="640" w:firstLineChars="200"/>
        <w:rPr>
          <w:rFonts w:hint="eastAsia" w:ascii="仿宋" w:hAnsi="仿宋" w:eastAsia="仿宋" w:cs="仿宋"/>
          <w:bCs/>
          <w:kern w:val="0"/>
          <w:sz w:val="32"/>
          <w:szCs w:val="32"/>
        </w:rPr>
      </w:pPr>
      <w:bookmarkStart w:id="4" w:name="_Toc22301"/>
      <w:r>
        <w:rPr>
          <w:rStyle w:val="15"/>
          <w:rFonts w:hint="eastAsia" w:ascii="楷体" w:hAnsi="楷体" w:eastAsia="楷体" w:cs="楷体"/>
          <w:b w:val="0"/>
          <w:bCs w:val="0"/>
          <w:sz w:val="32"/>
          <w:szCs w:val="32"/>
        </w:rPr>
        <w:t>（三）面临的机遇与挑战</w:t>
      </w:r>
      <w:bookmarkEnd w:id="4"/>
      <w:r>
        <w:rPr>
          <w:rFonts w:hint="eastAsia" w:ascii="楷体" w:hAnsi="楷体" w:eastAsia="楷体" w:cs="楷体"/>
          <w:b w:val="0"/>
          <w:bCs w:val="0"/>
          <w:sz w:val="32"/>
          <w:szCs w:val="32"/>
        </w:rPr>
        <w:t>。</w:t>
      </w:r>
      <w:r>
        <w:rPr>
          <w:rFonts w:hint="eastAsia" w:ascii="仿宋" w:hAnsi="仿宋" w:eastAsia="仿宋" w:cs="仿宋"/>
          <w:bCs/>
          <w:sz w:val="32"/>
          <w:szCs w:val="32"/>
        </w:rPr>
        <w:t>党中央、国务院提出“健康中国”建设战略，树立大卫生、大健康理念，将卫生与健康发展摆在经济社会发展全局的重要位置，</w:t>
      </w:r>
      <w:r>
        <w:rPr>
          <w:rFonts w:hint="eastAsia" w:ascii="仿宋" w:hAnsi="仿宋" w:eastAsia="仿宋" w:cs="仿宋"/>
          <w:bCs/>
          <w:kern w:val="0"/>
          <w:sz w:val="32"/>
          <w:szCs w:val="32"/>
        </w:rPr>
        <w:t>完善国民健康促进政策，织牢国家公共卫生防护网，为人民提供全方位全周期健康服务</w:t>
      </w:r>
      <w:r>
        <w:rPr>
          <w:rFonts w:hint="eastAsia" w:ascii="仿宋" w:hAnsi="仿宋" w:eastAsia="仿宋" w:cs="仿宋"/>
          <w:bCs/>
          <w:kern w:val="0"/>
          <w:sz w:val="32"/>
          <w:szCs w:val="32"/>
          <w:lang w:eastAsia="zh-CN"/>
        </w:rPr>
        <w:t>，</w:t>
      </w:r>
      <w:r>
        <w:rPr>
          <w:rFonts w:hint="eastAsia" w:ascii="仿宋" w:hAnsi="仿宋" w:eastAsia="仿宋" w:cs="仿宋"/>
          <w:bCs/>
          <w:sz w:val="32"/>
          <w:szCs w:val="32"/>
        </w:rPr>
        <w:t>《健康中国行动（2019-2030年）》围绕疾病预防和健康促进两大核心，从政府、社会、个人（家庭）三个层面协同推进组织实施15项重大行动。</w:t>
      </w:r>
      <w:r>
        <w:rPr>
          <w:rFonts w:hint="eastAsia" w:ascii="仿宋" w:hAnsi="仿宋" w:eastAsia="仿宋" w:cs="仿宋"/>
          <w:bCs/>
          <w:kern w:val="0"/>
          <w:sz w:val="32"/>
          <w:szCs w:val="32"/>
        </w:rPr>
        <w:t>省委明确提出实现“健康强省”等“九个强省突破”目标，卫生健康工作在经济社会发展全局中的重要地位和重大责任更加显现。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同时，我市卫生与健康事业发展仍然面临新的挑战。一是人口结构性问题日益突出，生育率维持较低水平，老龄化进程加速，</w:t>
      </w:r>
      <w:r>
        <w:rPr>
          <w:rFonts w:hint="eastAsia" w:ascii="仿宋" w:hAnsi="仿宋" w:eastAsia="仿宋" w:cs="仿宋"/>
          <w:color w:val="auto"/>
          <w:sz w:val="32"/>
          <w:szCs w:val="32"/>
          <w:lang w:val="en-US" w:eastAsia="zh-CN"/>
        </w:rPr>
        <w:t>加快完善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一老一小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养老照护和普惠托育服务</w:t>
      </w:r>
      <w:r>
        <w:rPr>
          <w:rFonts w:hint="eastAsia" w:ascii="仿宋" w:hAnsi="仿宋" w:eastAsia="仿宋" w:cs="仿宋"/>
          <w:color w:val="auto"/>
          <w:sz w:val="32"/>
          <w:szCs w:val="32"/>
        </w:rPr>
        <w:t>。</w:t>
      </w:r>
      <w:r>
        <w:rPr>
          <w:rFonts w:hint="eastAsia" w:ascii="仿宋" w:hAnsi="仿宋" w:eastAsia="仿宋" w:cs="仿宋"/>
          <w:sz w:val="32"/>
          <w:szCs w:val="32"/>
        </w:rPr>
        <w:t>二是城镇化不断推进，职业卫生、环境安全、食品安全、生活方式等多种影响健康因素相互交织，新发传染病不断出现，慢性非传染性疾病负担持续加重。三是医疗卫生资源供需矛盾更加突出，迫切需要合理规划有限的医疗卫生资源，创新服务模式和管理方式，不断满足人民群众多层次、多样化的健康服务需求。</w:t>
      </w:r>
      <w:r>
        <w:rPr>
          <w:rFonts w:hint="eastAsia" w:ascii="仿宋" w:hAnsi="仿宋" w:eastAsia="仿宋" w:cs="仿宋"/>
          <w:bCs/>
          <w:color w:val="auto"/>
          <w:sz w:val="32"/>
          <w:szCs w:val="32"/>
        </w:rPr>
        <w:t>突发新冠</w:t>
      </w:r>
      <w:r>
        <w:rPr>
          <w:rFonts w:hint="eastAsia" w:ascii="仿宋" w:hAnsi="仿宋" w:eastAsia="仿宋" w:cs="仿宋"/>
          <w:bCs/>
          <w:color w:val="auto"/>
          <w:sz w:val="32"/>
          <w:szCs w:val="32"/>
          <w:lang w:val="en-US" w:eastAsia="zh-CN"/>
        </w:rPr>
        <w:t>疫情</w:t>
      </w:r>
      <w:r>
        <w:rPr>
          <w:rFonts w:hint="eastAsia" w:ascii="仿宋" w:hAnsi="仿宋" w:eastAsia="仿宋" w:cs="仿宋"/>
          <w:bCs/>
          <w:color w:val="auto"/>
          <w:sz w:val="32"/>
          <w:szCs w:val="32"/>
        </w:rPr>
        <w:t>给公共卫生体系</w:t>
      </w:r>
      <w:r>
        <w:rPr>
          <w:rFonts w:hint="eastAsia" w:ascii="仿宋" w:hAnsi="仿宋" w:eastAsia="仿宋" w:cs="仿宋"/>
          <w:bCs/>
          <w:color w:val="auto"/>
          <w:sz w:val="32"/>
          <w:szCs w:val="32"/>
          <w:lang w:eastAsia="zh-CN"/>
        </w:rPr>
        <w:t>建设</w:t>
      </w:r>
      <w:r>
        <w:rPr>
          <w:rFonts w:hint="eastAsia" w:ascii="仿宋" w:hAnsi="仿宋" w:eastAsia="仿宋" w:cs="仿宋"/>
          <w:bCs/>
          <w:color w:val="auto"/>
          <w:sz w:val="32"/>
          <w:szCs w:val="32"/>
        </w:rPr>
        <w:t>提出更高要求，</w:t>
      </w:r>
      <w:r>
        <w:rPr>
          <w:rFonts w:hint="eastAsia" w:ascii="仿宋" w:hAnsi="仿宋" w:eastAsia="仿宋" w:cs="仿宋"/>
          <w:bCs/>
          <w:color w:val="auto"/>
          <w:sz w:val="32"/>
          <w:szCs w:val="32"/>
          <w:lang w:eastAsia="zh-CN"/>
        </w:rPr>
        <w:t>补</w:t>
      </w:r>
      <w:r>
        <w:rPr>
          <w:rFonts w:hint="eastAsia" w:ascii="仿宋" w:hAnsi="仿宋" w:eastAsia="仿宋" w:cs="仿宋"/>
          <w:bCs/>
          <w:color w:val="auto"/>
          <w:sz w:val="32"/>
          <w:szCs w:val="32"/>
        </w:rPr>
        <w:t>短板</w:t>
      </w:r>
      <w:r>
        <w:rPr>
          <w:rFonts w:hint="eastAsia" w:ascii="仿宋" w:hAnsi="仿宋" w:eastAsia="仿宋" w:cs="仿宋"/>
          <w:bCs/>
          <w:color w:val="auto"/>
          <w:sz w:val="32"/>
          <w:szCs w:val="32"/>
          <w:lang w:eastAsia="zh-CN"/>
        </w:rPr>
        <w:t>、强弱项成为</w:t>
      </w:r>
      <w:r>
        <w:rPr>
          <w:rFonts w:hint="eastAsia" w:ascii="仿宋" w:hAnsi="仿宋" w:eastAsia="仿宋" w:cs="仿宋"/>
          <w:bCs/>
          <w:color w:val="auto"/>
          <w:sz w:val="32"/>
          <w:szCs w:val="32"/>
        </w:rPr>
        <w:t>供给侧结构性改革以及预防型公共卫生防疫体系建设</w:t>
      </w:r>
      <w:r>
        <w:rPr>
          <w:rFonts w:hint="eastAsia" w:ascii="仿宋" w:hAnsi="仿宋" w:eastAsia="仿宋" w:cs="仿宋"/>
          <w:bCs/>
          <w:color w:val="auto"/>
          <w:sz w:val="32"/>
          <w:szCs w:val="32"/>
          <w:lang w:eastAsia="zh-CN"/>
        </w:rPr>
        <w:t>重点任务</w:t>
      </w:r>
      <w:r>
        <w:rPr>
          <w:rFonts w:hint="eastAsia" w:ascii="仿宋" w:hAnsi="仿宋" w:eastAsia="仿宋" w:cs="仿宋"/>
          <w:bCs/>
          <w:color w:val="auto"/>
          <w:sz w:val="32"/>
          <w:szCs w:val="32"/>
        </w:rPr>
        <w:t>。</w:t>
      </w:r>
      <w:r>
        <w:rPr>
          <w:rFonts w:hint="eastAsia" w:ascii="仿宋" w:hAnsi="仿宋" w:eastAsia="仿宋" w:cs="仿宋"/>
          <w:bCs/>
          <w:color w:val="auto"/>
          <w:sz w:val="32"/>
          <w:szCs w:val="32"/>
        </w:rPr>
        <w:br w:type="textWrapping"/>
      </w:r>
      <w:r>
        <w:rPr>
          <w:rFonts w:hint="eastAsia" w:ascii="仿宋" w:hAnsi="仿宋" w:eastAsia="仿宋" w:cs="仿宋"/>
          <w:bCs/>
          <w:sz w:val="32"/>
          <w:szCs w:val="32"/>
          <w:lang w:val="en-US" w:eastAsia="zh-CN"/>
        </w:rPr>
        <w:t xml:space="preserve">    </w:t>
      </w:r>
      <w:r>
        <w:rPr>
          <w:rStyle w:val="14"/>
          <w:rFonts w:hint="eastAsia" w:ascii="黑体" w:hAnsi="黑体" w:eastAsia="黑体" w:cs="黑体"/>
          <w:b w:val="0"/>
          <w:bCs w:val="0"/>
          <w:sz w:val="32"/>
          <w:szCs w:val="32"/>
        </w:rPr>
        <w:t>二、指导思想和总体目标</w:t>
      </w:r>
      <w:r>
        <w:rPr>
          <w:rStyle w:val="14"/>
          <w:rFonts w:hint="eastAsia"/>
        </w:rPr>
        <w:br w:type="textWrapping"/>
      </w:r>
      <w:r>
        <w:rPr>
          <w:rFonts w:hint="eastAsia" w:ascii="仿宋" w:hAnsi="仿宋" w:eastAsia="仿宋" w:cs="仿宋"/>
          <w:sz w:val="32"/>
          <w:szCs w:val="32"/>
        </w:rPr>
        <w:t xml:space="preserve"> </w:t>
      </w:r>
      <w:r>
        <w:rPr>
          <w:rFonts w:hint="eastAsia" w:ascii="仿宋" w:hAnsi="仿宋" w:eastAsia="仿宋" w:cs="仿宋"/>
          <w:b w:val="0"/>
          <w:bCs w:val="0"/>
          <w:sz w:val="32"/>
          <w:szCs w:val="32"/>
        </w:rPr>
        <w:t xml:space="preserve">  </w:t>
      </w:r>
      <w:r>
        <w:rPr>
          <w:rFonts w:hint="eastAsia" w:ascii="楷体" w:hAnsi="楷体" w:eastAsia="楷体" w:cs="楷体"/>
          <w:b w:val="0"/>
          <w:bCs w:val="0"/>
          <w:sz w:val="32"/>
          <w:szCs w:val="32"/>
        </w:rPr>
        <w:t xml:space="preserve"> </w:t>
      </w:r>
      <w:r>
        <w:rPr>
          <w:rStyle w:val="15"/>
          <w:rFonts w:hint="eastAsia" w:ascii="楷体" w:hAnsi="楷体" w:eastAsia="楷体" w:cs="楷体"/>
          <w:b w:val="0"/>
          <w:bCs w:val="0"/>
          <w:sz w:val="32"/>
          <w:szCs w:val="32"/>
        </w:rPr>
        <w:t>（一）指导思想</w:t>
      </w:r>
      <w:r>
        <w:rPr>
          <w:rFonts w:hint="eastAsia" w:ascii="楷体" w:hAnsi="楷体" w:eastAsia="楷体" w:cs="楷体"/>
          <w:b w:val="0"/>
          <w:bCs w:val="0"/>
          <w:sz w:val="32"/>
          <w:szCs w:val="32"/>
        </w:rPr>
        <w:t>。</w:t>
      </w:r>
      <w:r>
        <w:rPr>
          <w:rFonts w:hint="eastAsia" w:ascii="仿宋" w:hAnsi="仿宋" w:eastAsia="仿宋" w:cs="仿宋"/>
          <w:bCs/>
          <w:sz w:val="32"/>
          <w:szCs w:val="32"/>
        </w:rPr>
        <w:t>以习近平新时代中国特色社会主义思想为指</w:t>
      </w:r>
      <w:r>
        <w:rPr>
          <w:rFonts w:hint="eastAsia" w:ascii="仿宋" w:hAnsi="仿宋" w:eastAsia="仿宋" w:cs="仿宋"/>
          <w:bCs/>
          <w:color w:val="auto"/>
          <w:sz w:val="32"/>
          <w:szCs w:val="32"/>
        </w:rPr>
        <w:t>导，坚持新时代卫生健康工作方针，</w:t>
      </w:r>
      <w:r>
        <w:rPr>
          <w:rFonts w:hint="eastAsia" w:ascii="仿宋" w:hAnsi="仿宋" w:eastAsia="仿宋" w:cs="仿宋"/>
          <w:bCs/>
          <w:color w:val="auto"/>
          <w:kern w:val="0"/>
          <w:sz w:val="32"/>
          <w:szCs w:val="32"/>
        </w:rPr>
        <w:t>以维护人民健康为中心，以“健康强</w:t>
      </w:r>
      <w:r>
        <w:rPr>
          <w:rFonts w:hint="eastAsia" w:ascii="仿宋" w:hAnsi="仿宋" w:eastAsia="仿宋" w:cs="仿宋"/>
          <w:bCs/>
          <w:color w:val="auto"/>
          <w:kern w:val="0"/>
          <w:sz w:val="32"/>
          <w:szCs w:val="32"/>
          <w:lang w:val="en-US" w:eastAsia="zh-CN"/>
        </w:rPr>
        <w:t>市</w:t>
      </w:r>
      <w:r>
        <w:rPr>
          <w:rFonts w:hint="eastAsia" w:ascii="仿宋" w:hAnsi="仿宋" w:eastAsia="仿宋" w:cs="仿宋"/>
          <w:bCs/>
          <w:color w:val="auto"/>
          <w:kern w:val="0"/>
          <w:sz w:val="32"/>
          <w:szCs w:val="32"/>
        </w:rPr>
        <w:t>”建设为统领，以打造整合型医疗服务体系为主线，</w:t>
      </w:r>
      <w:r>
        <w:rPr>
          <w:rFonts w:hint="eastAsia" w:ascii="仿宋" w:hAnsi="仿宋" w:eastAsia="仿宋" w:cs="仿宋"/>
          <w:color w:val="auto"/>
          <w:sz w:val="32"/>
          <w:szCs w:val="32"/>
        </w:rPr>
        <w:t>以改革创新为动力，</w:t>
      </w:r>
      <w:r>
        <w:rPr>
          <w:rFonts w:hint="eastAsia" w:ascii="仿宋" w:hAnsi="仿宋" w:eastAsia="仿宋" w:cs="仿宋"/>
          <w:bCs/>
          <w:color w:val="auto"/>
          <w:sz w:val="32"/>
          <w:szCs w:val="32"/>
        </w:rPr>
        <w:t>坚持以促健康、转模式、强基层、重保障为着力点，</w:t>
      </w:r>
      <w:r>
        <w:rPr>
          <w:rFonts w:hint="eastAsia" w:ascii="仿宋" w:hAnsi="仿宋" w:eastAsia="仿宋" w:cs="仿宋"/>
          <w:bCs/>
          <w:color w:val="auto"/>
          <w:kern w:val="0"/>
          <w:sz w:val="32"/>
          <w:szCs w:val="32"/>
        </w:rPr>
        <w:t>更加注重预防为主和风险防范、更加注重</w:t>
      </w:r>
      <w:r>
        <w:rPr>
          <w:rFonts w:hint="eastAsia" w:ascii="仿宋" w:hAnsi="仿宋" w:eastAsia="仿宋" w:cs="仿宋"/>
          <w:bCs/>
          <w:color w:val="auto"/>
          <w:kern w:val="0"/>
          <w:sz w:val="32"/>
          <w:szCs w:val="32"/>
          <w:lang w:val="en-US" w:eastAsia="zh-CN"/>
        </w:rPr>
        <w:t>市域优质医疗资源扩容</w:t>
      </w:r>
      <w:r>
        <w:rPr>
          <w:rFonts w:hint="eastAsia" w:ascii="仿宋" w:hAnsi="仿宋" w:eastAsia="仿宋" w:cs="仿宋"/>
          <w:bCs/>
          <w:color w:val="auto"/>
          <w:kern w:val="0"/>
          <w:sz w:val="32"/>
          <w:szCs w:val="32"/>
        </w:rPr>
        <w:t>下沉和整合协作、更加注</w:t>
      </w:r>
      <w:r>
        <w:rPr>
          <w:rFonts w:hint="eastAsia" w:ascii="仿宋" w:hAnsi="仿宋" w:eastAsia="仿宋" w:cs="仿宋"/>
          <w:bCs/>
          <w:kern w:val="0"/>
          <w:sz w:val="32"/>
          <w:szCs w:val="32"/>
        </w:rPr>
        <w:t>重提高品质和促进均衡，</w:t>
      </w:r>
      <w:r>
        <w:rPr>
          <w:rFonts w:hint="eastAsia" w:ascii="仿宋" w:hAnsi="仿宋" w:eastAsia="仿宋" w:cs="仿宋"/>
          <w:bCs/>
          <w:sz w:val="32"/>
          <w:szCs w:val="32"/>
        </w:rPr>
        <w:t>将健康融入所有政策，立足当前、着眼长远，补短板、</w:t>
      </w:r>
      <w:r>
        <w:rPr>
          <w:rFonts w:hint="eastAsia" w:ascii="仿宋" w:hAnsi="仿宋" w:eastAsia="仿宋" w:cs="仿宋"/>
          <w:bCs/>
          <w:kern w:val="0"/>
          <w:sz w:val="32"/>
          <w:szCs w:val="32"/>
        </w:rPr>
        <w:t>锻长板、</w:t>
      </w:r>
      <w:r>
        <w:rPr>
          <w:rFonts w:hint="eastAsia" w:ascii="仿宋" w:hAnsi="仿宋" w:eastAsia="仿宋" w:cs="仿宋"/>
          <w:bCs/>
          <w:sz w:val="32"/>
          <w:szCs w:val="32"/>
        </w:rPr>
        <w:t>堵漏洞、强弱项，推进卫生健康服务体系建设，</w:t>
      </w:r>
      <w:r>
        <w:rPr>
          <w:rFonts w:hint="eastAsia" w:ascii="仿宋" w:hAnsi="仿宋" w:eastAsia="仿宋" w:cs="仿宋"/>
          <w:bCs/>
          <w:kern w:val="0"/>
          <w:sz w:val="32"/>
          <w:szCs w:val="32"/>
        </w:rPr>
        <w:t>全方位全周期保障人民健康</w:t>
      </w:r>
      <w:r>
        <w:rPr>
          <w:rFonts w:hint="eastAsia" w:ascii="仿宋" w:hAnsi="仿宋" w:eastAsia="仿宋" w:cs="仿宋"/>
          <w:bCs/>
          <w:sz w:val="32"/>
          <w:szCs w:val="32"/>
        </w:rPr>
        <w:t>。</w:t>
      </w:r>
      <w:r>
        <w:rPr>
          <w:rFonts w:hint="eastAsia" w:ascii="仿宋" w:hAnsi="仿宋" w:eastAsia="仿宋" w:cs="仿宋"/>
          <w:sz w:val="32"/>
          <w:szCs w:val="32"/>
        </w:rPr>
        <w:t>　　</w:t>
      </w:r>
    </w:p>
    <w:p>
      <w:pPr>
        <w:spacing w:line="360" w:lineRule="auto"/>
        <w:ind w:firstLine="640" w:firstLineChars="200"/>
        <w:rPr>
          <w:rFonts w:hint="eastAsia" w:ascii="仿宋" w:hAnsi="仿宋" w:eastAsia="仿宋" w:cs="仿宋"/>
          <w:kern w:val="0"/>
          <w:sz w:val="32"/>
          <w:szCs w:val="32"/>
        </w:rPr>
      </w:pPr>
      <w:bookmarkStart w:id="5" w:name="_Toc6372"/>
      <w:r>
        <w:rPr>
          <w:rStyle w:val="15"/>
          <w:rFonts w:hint="eastAsia" w:ascii="楷体" w:hAnsi="楷体" w:eastAsia="楷体" w:cs="楷体"/>
          <w:b w:val="0"/>
          <w:bCs w:val="0"/>
          <w:sz w:val="32"/>
          <w:szCs w:val="32"/>
        </w:rPr>
        <w:t>（二）总体目标</w:t>
      </w:r>
      <w:bookmarkEnd w:id="5"/>
      <w:r>
        <w:rPr>
          <w:rFonts w:hint="eastAsia" w:ascii="楷体" w:hAnsi="楷体" w:eastAsia="楷体" w:cs="楷体"/>
          <w:b w:val="0"/>
          <w:bCs w:val="0"/>
          <w:sz w:val="32"/>
          <w:szCs w:val="32"/>
        </w:rPr>
        <w:t>。</w:t>
      </w:r>
      <w:r>
        <w:rPr>
          <w:rFonts w:hint="eastAsia" w:ascii="仿宋" w:hAnsi="仿宋" w:eastAsia="仿宋" w:cs="仿宋"/>
          <w:sz w:val="32"/>
          <w:szCs w:val="32"/>
        </w:rPr>
        <w:t>推进健康烟台建设，稳步提升人均预期寿命，基本公共服务均等化水平明显提高，多层次社会保障体系更加健全，卫生健康体系更加完善。到</w:t>
      </w:r>
      <w:r>
        <w:rPr>
          <w:rFonts w:hint="eastAsia" w:ascii="仿宋" w:hAnsi="仿宋" w:eastAsia="仿宋" w:cs="仿宋"/>
          <w:kern w:val="0"/>
          <w:sz w:val="32"/>
          <w:szCs w:val="32"/>
        </w:rPr>
        <w:t>2025</w:t>
      </w:r>
      <w:r>
        <w:rPr>
          <w:rFonts w:hint="eastAsia" w:ascii="仿宋" w:hAnsi="仿宋" w:eastAsia="仿宋" w:cs="仿宋"/>
          <w:sz w:val="32"/>
          <w:szCs w:val="32"/>
        </w:rPr>
        <w:t>年，实现</w:t>
      </w:r>
      <w:r>
        <w:rPr>
          <w:rFonts w:hint="eastAsia" w:ascii="仿宋" w:hAnsi="仿宋" w:eastAsia="仿宋" w:cs="仿宋"/>
          <w:bCs/>
          <w:sz w:val="32"/>
          <w:szCs w:val="32"/>
        </w:rPr>
        <w:t>卫生健康事业高质量发展</w:t>
      </w:r>
      <w:r>
        <w:rPr>
          <w:rFonts w:hint="eastAsia" w:ascii="仿宋" w:hAnsi="仿宋" w:eastAsia="仿宋" w:cs="仿宋"/>
          <w:sz w:val="32"/>
          <w:szCs w:val="32"/>
        </w:rPr>
        <w:t>，</w:t>
      </w:r>
      <w:r>
        <w:rPr>
          <w:rFonts w:hint="eastAsia" w:ascii="仿宋" w:hAnsi="仿宋" w:eastAsia="仿宋" w:cs="仿宋"/>
          <w:bCs/>
          <w:sz w:val="32"/>
          <w:szCs w:val="32"/>
        </w:rPr>
        <w:t>满足人民日益增长的健康需求，</w:t>
      </w:r>
      <w:r>
        <w:rPr>
          <w:rFonts w:hint="eastAsia" w:ascii="仿宋" w:hAnsi="仿宋" w:eastAsia="仿宋" w:cs="仿宋"/>
          <w:kern w:val="0"/>
          <w:sz w:val="32"/>
          <w:szCs w:val="32"/>
        </w:rPr>
        <w:t>全民健康素养水平大幅提升，健康生活方式不断普及，</w:t>
      </w:r>
      <w:r>
        <w:rPr>
          <w:rFonts w:hint="eastAsia" w:ascii="仿宋" w:hAnsi="仿宋" w:eastAsia="仿宋" w:cs="仿宋"/>
          <w:kern w:val="0"/>
          <w:sz w:val="32"/>
          <w:szCs w:val="32"/>
          <w:lang w:val="en-US" w:eastAsia="zh-CN"/>
        </w:rPr>
        <w:t>健康环境质量不断改善，重点人群健康状况得到显著改善，</w:t>
      </w:r>
      <w:r>
        <w:rPr>
          <w:rFonts w:hint="eastAsia" w:ascii="仿宋" w:hAnsi="仿宋" w:eastAsia="仿宋" w:cs="仿宋"/>
          <w:kern w:val="0"/>
          <w:sz w:val="32"/>
          <w:szCs w:val="32"/>
        </w:rPr>
        <w:t>人均预期寿命达</w:t>
      </w:r>
      <w:r>
        <w:rPr>
          <w:rFonts w:hint="eastAsia" w:ascii="仿宋" w:hAnsi="仿宋" w:eastAsia="仿宋" w:cs="仿宋"/>
          <w:color w:val="auto"/>
          <w:kern w:val="0"/>
          <w:sz w:val="32"/>
          <w:szCs w:val="32"/>
        </w:rPr>
        <w:t>到8</w:t>
      </w:r>
      <w:r>
        <w:rPr>
          <w:rFonts w:hint="eastAsia" w:ascii="仿宋" w:hAnsi="仿宋" w:eastAsia="仿宋" w:cs="仿宋"/>
          <w:color w:val="auto"/>
          <w:kern w:val="0"/>
          <w:sz w:val="32"/>
          <w:szCs w:val="32"/>
          <w:lang w:val="en-US" w:eastAsia="zh-CN"/>
        </w:rPr>
        <w:t>1.5</w:t>
      </w:r>
      <w:r>
        <w:rPr>
          <w:rFonts w:hint="eastAsia" w:ascii="仿宋" w:hAnsi="仿宋" w:eastAsia="仿宋" w:cs="仿宋"/>
          <w:color w:val="auto"/>
          <w:kern w:val="0"/>
          <w:sz w:val="32"/>
          <w:szCs w:val="32"/>
        </w:rPr>
        <w:t>岁</w:t>
      </w:r>
      <w:r>
        <w:rPr>
          <w:rFonts w:hint="eastAsia" w:ascii="仿宋" w:hAnsi="仿宋" w:eastAsia="仿宋" w:cs="仿宋"/>
          <w:color w:val="auto"/>
          <w:kern w:val="0"/>
          <w:sz w:val="32"/>
          <w:szCs w:val="32"/>
          <w:lang w:eastAsia="zh-CN"/>
        </w:rPr>
        <w:t>左右</w:t>
      </w:r>
      <w:r>
        <w:rPr>
          <w:rFonts w:hint="eastAsia" w:ascii="仿宋" w:hAnsi="仿宋" w:eastAsia="仿宋" w:cs="仿宋"/>
          <w:color w:val="auto"/>
          <w:kern w:val="0"/>
          <w:sz w:val="32"/>
          <w:szCs w:val="32"/>
        </w:rPr>
        <w:t>，</w:t>
      </w:r>
      <w:r>
        <w:rPr>
          <w:rFonts w:hint="eastAsia" w:ascii="仿宋" w:hAnsi="仿宋" w:eastAsia="仿宋" w:cs="仿宋"/>
          <w:sz w:val="32"/>
          <w:szCs w:val="32"/>
        </w:rPr>
        <w:t>主要发展指标</w:t>
      </w:r>
      <w:r>
        <w:rPr>
          <w:rFonts w:hint="eastAsia" w:ascii="仿宋" w:hAnsi="仿宋" w:eastAsia="仿宋" w:cs="仿宋"/>
          <w:kern w:val="0"/>
          <w:sz w:val="32"/>
          <w:szCs w:val="32"/>
        </w:rPr>
        <w:t>在省内处于领先地位。</w:t>
      </w:r>
    </w:p>
    <w:p>
      <w:pPr>
        <w:spacing w:line="360" w:lineRule="auto"/>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——持续完善卫生健康服务体系，进一步推进优质资源下沉，大幅提升基层医疗卫生服务能力，更好满足人民群众全方位全周期的健康需求。</w:t>
      </w:r>
    </w:p>
    <w:p>
      <w:pPr>
        <w:spacing w:line="360" w:lineRule="auto"/>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w:t>
      </w:r>
      <w:r>
        <w:rPr>
          <w:rFonts w:hint="eastAsia" w:ascii="仿宋" w:hAnsi="仿宋" w:eastAsia="仿宋" w:cs="仿宋"/>
          <w:sz w:val="32"/>
          <w:szCs w:val="32"/>
        </w:rPr>
        <w:t>构建平</w:t>
      </w:r>
      <w:r>
        <w:rPr>
          <w:rFonts w:hint="eastAsia" w:ascii="仿宋" w:hAnsi="仿宋" w:eastAsia="仿宋" w:cs="仿宋"/>
          <w:sz w:val="32"/>
          <w:szCs w:val="32"/>
          <w:lang w:eastAsia="zh-CN"/>
        </w:rPr>
        <w:t>急</w:t>
      </w:r>
      <w:r>
        <w:rPr>
          <w:rFonts w:hint="eastAsia" w:ascii="仿宋" w:hAnsi="仿宋" w:eastAsia="仿宋" w:cs="仿宋"/>
          <w:sz w:val="32"/>
          <w:szCs w:val="32"/>
        </w:rPr>
        <w:t>结合、科学高效、功能完善的公共卫生体系，显著提高全市应对突发重大公共卫生事件的能力和水平。</w:t>
      </w:r>
    </w:p>
    <w:p>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sz w:val="32"/>
          <w:szCs w:val="32"/>
          <w:shd w:val="clear" w:color="auto" w:fill="FFFFFF"/>
        </w:rPr>
        <w:t>——完善以居民健康为中心的服务供给模式，加大中医技术和中药方法的使用，提升家庭医生签约服务质量，建立健全符合我市实际的分级诊疗制度。</w:t>
      </w:r>
    </w:p>
    <w:p>
      <w:pPr>
        <w:widowControl/>
        <w:spacing w:line="360" w:lineRule="auto"/>
        <w:ind w:firstLine="640" w:firstLineChars="200"/>
        <w:rPr>
          <w:rFonts w:hint="eastAsia" w:ascii="仿宋" w:hAnsi="仿宋" w:eastAsia="仿宋" w:cs="仿宋"/>
          <w:color w:val="auto"/>
          <w:sz w:val="32"/>
          <w:szCs w:val="32"/>
          <w:shd w:val="clear" w:color="auto" w:fill="FFFFFF"/>
        </w:rPr>
      </w:pPr>
      <w:r>
        <w:rPr>
          <w:rFonts w:hint="eastAsia" w:ascii="仿宋" w:hAnsi="仿宋" w:eastAsia="仿宋" w:cs="仿宋"/>
          <w:sz w:val="32"/>
          <w:szCs w:val="32"/>
          <w:shd w:val="clear" w:color="auto" w:fill="FFFFFF"/>
        </w:rPr>
        <w:t>——</w:t>
      </w:r>
      <w:r>
        <w:rPr>
          <w:rFonts w:hint="eastAsia" w:ascii="仿宋" w:hAnsi="仿宋" w:eastAsia="仿宋" w:cs="仿宋"/>
          <w:color w:val="auto"/>
          <w:sz w:val="32"/>
          <w:szCs w:val="32"/>
          <w:shd w:val="clear" w:color="auto" w:fill="FFFFFF"/>
          <w:lang w:eastAsia="zh-CN"/>
        </w:rPr>
        <w:t>落实</w:t>
      </w:r>
      <w:r>
        <w:rPr>
          <w:rFonts w:hint="eastAsia" w:ascii="仿宋" w:hAnsi="仿宋" w:eastAsia="仿宋" w:cs="仿宋"/>
          <w:color w:val="auto"/>
          <w:sz w:val="32"/>
          <w:szCs w:val="32"/>
          <w:shd w:val="clear" w:color="auto" w:fill="FFFFFF"/>
        </w:rPr>
        <w:t>生育政策，</w:t>
      </w:r>
      <w:r>
        <w:rPr>
          <w:rFonts w:hint="eastAsia" w:ascii="仿宋" w:hAnsi="仿宋" w:eastAsia="仿宋" w:cs="仿宋"/>
          <w:color w:val="auto"/>
          <w:sz w:val="32"/>
          <w:szCs w:val="32"/>
          <w:shd w:val="clear" w:color="auto" w:fill="FFFFFF"/>
          <w:lang w:eastAsia="zh-CN"/>
        </w:rPr>
        <w:t>完善</w:t>
      </w:r>
      <w:r>
        <w:rPr>
          <w:rFonts w:hint="eastAsia" w:ascii="仿宋" w:hAnsi="仿宋" w:eastAsia="仿宋" w:cs="仿宋"/>
          <w:color w:val="auto"/>
          <w:sz w:val="32"/>
          <w:szCs w:val="32"/>
          <w:shd w:val="clear" w:color="auto" w:fill="FFFFFF"/>
        </w:rPr>
        <w:t>生育支持政策短板，发展普惠托育服务体系，促进人口长期均衡发展，进一步提高出生人口素质</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highlight w:val="none"/>
          <w:shd w:val="clear" w:color="auto" w:fill="FFFFFF"/>
        </w:rPr>
        <w:t>完善计划生育家庭利益导向机制</w:t>
      </w:r>
      <w:r>
        <w:rPr>
          <w:rFonts w:hint="eastAsia" w:ascii="仿宋" w:hAnsi="仿宋" w:eastAsia="仿宋" w:cs="仿宋"/>
          <w:color w:val="auto"/>
          <w:sz w:val="32"/>
          <w:szCs w:val="32"/>
          <w:shd w:val="clear" w:color="auto" w:fill="FFFFFF"/>
        </w:rPr>
        <w:t>。</w:t>
      </w:r>
    </w:p>
    <w:p>
      <w:pPr>
        <w:widowControl/>
        <w:spacing w:line="360" w:lineRule="auto"/>
        <w:ind w:firstLine="640" w:firstLineChars="200"/>
        <w:rPr>
          <w:rFonts w:hint="eastAsia" w:ascii="仿宋" w:hAnsi="仿宋" w:eastAsia="仿宋" w:cs="仿宋"/>
          <w:sz w:val="32"/>
          <w:szCs w:val="32"/>
          <w:shd w:val="clear" w:color="auto" w:fill="FFFFFF"/>
        </w:rPr>
      </w:pPr>
      <w:r>
        <w:rPr>
          <w:rFonts w:hint="eastAsia" w:ascii="仿宋" w:hAnsi="仿宋" w:eastAsia="仿宋" w:cs="仿宋"/>
          <w:color w:val="auto"/>
          <w:sz w:val="32"/>
          <w:szCs w:val="32"/>
          <w:shd w:val="clear" w:color="auto" w:fill="FFFFFF"/>
        </w:rPr>
        <w:t>——促进医养融合发展，建立医疗养老联</w:t>
      </w:r>
      <w:r>
        <w:rPr>
          <w:rFonts w:hint="eastAsia" w:ascii="仿宋" w:hAnsi="仿宋" w:eastAsia="仿宋" w:cs="仿宋"/>
          <w:sz w:val="32"/>
          <w:szCs w:val="32"/>
          <w:shd w:val="clear" w:color="auto" w:fill="FFFFFF"/>
        </w:rPr>
        <w:t>合体或共同体，加强建设智慧健康养老社区、基地和企业，拓展中医药健康养老服务。</w:t>
      </w:r>
    </w:p>
    <w:p>
      <w:pPr>
        <w:widowControl/>
        <w:spacing w:line="360" w:lineRule="auto"/>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——加快推进</w:t>
      </w:r>
      <w:r>
        <w:rPr>
          <w:rFonts w:hint="eastAsia" w:ascii="仿宋" w:hAnsi="仿宋" w:eastAsia="仿宋" w:cs="仿宋"/>
          <w:sz w:val="32"/>
          <w:szCs w:val="32"/>
        </w:rPr>
        <w:t>基本医疗系统、基本公共卫生服务系统、家庭医生签约系统的</w:t>
      </w:r>
      <w:r>
        <w:rPr>
          <w:rFonts w:hint="eastAsia" w:ascii="仿宋" w:hAnsi="仿宋" w:eastAsia="仿宋" w:cs="仿宋"/>
          <w:sz w:val="32"/>
          <w:szCs w:val="32"/>
          <w:shd w:val="clear" w:color="auto" w:fill="FFFFFF"/>
        </w:rPr>
        <w:t>互联互通、信息共享和业务协同。</w:t>
      </w:r>
    </w:p>
    <w:p>
      <w:pPr>
        <w:widowControl/>
        <w:spacing w:line="360" w:lineRule="auto"/>
        <w:rPr>
          <w:rFonts w:hint="eastAsia" w:ascii="仿宋" w:hAnsi="仿宋" w:eastAsia="仿宋" w:cs="仿宋"/>
          <w:sz w:val="32"/>
          <w:szCs w:val="32"/>
          <w:shd w:val="clear" w:color="auto" w:fill="FFFFFF"/>
        </w:rPr>
      </w:pPr>
    </w:p>
    <w:p>
      <w:pPr>
        <w:jc w:val="center"/>
        <w:rPr>
          <w:rFonts w:hint="eastAsia" w:ascii="仿宋" w:hAnsi="仿宋" w:eastAsia="仿宋" w:cs="仿宋"/>
          <w:b/>
          <w:bCs/>
          <w:sz w:val="32"/>
          <w:szCs w:val="32"/>
        </w:rPr>
      </w:pPr>
      <w:r>
        <w:rPr>
          <w:rFonts w:hint="eastAsia" w:ascii="仿宋" w:hAnsi="仿宋" w:eastAsia="仿宋" w:cs="仿宋"/>
          <w:b/>
          <w:bCs/>
          <w:sz w:val="32"/>
          <w:szCs w:val="32"/>
        </w:rPr>
        <w:t>表1主要发展指标</w:t>
      </w:r>
    </w:p>
    <w:tbl>
      <w:tblPr>
        <w:tblStyle w:val="11"/>
        <w:tblW w:w="5214"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808"/>
        <w:gridCol w:w="573"/>
        <w:gridCol w:w="3331"/>
        <w:gridCol w:w="928"/>
        <w:gridCol w:w="935"/>
        <w:gridCol w:w="990"/>
        <w:gridCol w:w="112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38" w:hRule="atLeast"/>
          <w:jc w:val="center"/>
        </w:trPr>
        <w:tc>
          <w:tcPr>
            <w:tcW w:w="465" w:type="pct"/>
            <w:shd w:val="clear" w:color="auto" w:fill="FFFFFF"/>
            <w:tcMar>
              <w:top w:w="15" w:type="dxa"/>
              <w:left w:w="15" w:type="dxa"/>
              <w:right w:w="15" w:type="dxa"/>
            </w:tcMar>
            <w:vAlign w:val="center"/>
          </w:tcPr>
          <w:p>
            <w:pPr>
              <w:widowControl/>
              <w:spacing w:line="300" w:lineRule="exact"/>
              <w:jc w:val="center"/>
              <w:textAlignment w:val="center"/>
              <w:rPr>
                <w:rFonts w:hint="eastAsia" w:ascii="仿宋" w:hAnsi="仿宋" w:eastAsia="仿宋" w:cs="仿宋"/>
                <w:b/>
                <w:bCs/>
                <w:color w:val="auto"/>
                <w:sz w:val="32"/>
                <w:szCs w:val="32"/>
              </w:rPr>
            </w:pPr>
            <w:r>
              <w:rPr>
                <w:rFonts w:hint="eastAsia" w:ascii="仿宋" w:hAnsi="仿宋" w:eastAsia="仿宋" w:cs="仿宋"/>
                <w:b/>
                <w:bCs/>
                <w:color w:val="auto"/>
                <w:kern w:val="0"/>
                <w:sz w:val="32"/>
                <w:szCs w:val="32"/>
              </w:rPr>
              <w:t>领域</w:t>
            </w:r>
          </w:p>
        </w:tc>
        <w:tc>
          <w:tcPr>
            <w:tcW w:w="329" w:type="pct"/>
            <w:shd w:val="clear" w:color="auto" w:fill="FFFFFF"/>
            <w:vAlign w:val="center"/>
          </w:tcPr>
          <w:p>
            <w:pPr>
              <w:widowControl/>
              <w:spacing w:line="300" w:lineRule="exact"/>
              <w:jc w:val="center"/>
              <w:textAlignment w:val="center"/>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序号</w:t>
            </w:r>
          </w:p>
        </w:tc>
        <w:tc>
          <w:tcPr>
            <w:tcW w:w="1914" w:type="pct"/>
            <w:shd w:val="clear" w:color="auto" w:fill="FFFFFF"/>
            <w:tcMar>
              <w:top w:w="15" w:type="dxa"/>
              <w:left w:w="15" w:type="dxa"/>
              <w:right w:w="15" w:type="dxa"/>
            </w:tcMar>
            <w:vAlign w:val="center"/>
          </w:tcPr>
          <w:p>
            <w:pPr>
              <w:widowControl/>
              <w:spacing w:line="300" w:lineRule="exact"/>
              <w:jc w:val="center"/>
              <w:textAlignment w:val="center"/>
              <w:rPr>
                <w:rFonts w:hint="eastAsia" w:ascii="仿宋" w:hAnsi="仿宋" w:eastAsia="仿宋" w:cs="仿宋"/>
                <w:b/>
                <w:bCs/>
                <w:color w:val="auto"/>
                <w:sz w:val="32"/>
                <w:szCs w:val="32"/>
              </w:rPr>
            </w:pPr>
            <w:r>
              <w:rPr>
                <w:rFonts w:hint="eastAsia" w:ascii="仿宋" w:hAnsi="仿宋" w:eastAsia="仿宋" w:cs="仿宋"/>
                <w:b/>
                <w:bCs/>
                <w:color w:val="auto"/>
                <w:kern w:val="0"/>
                <w:sz w:val="32"/>
                <w:szCs w:val="32"/>
              </w:rPr>
              <w:t>主要指标</w:t>
            </w:r>
          </w:p>
        </w:tc>
        <w:tc>
          <w:tcPr>
            <w:tcW w:w="533" w:type="pct"/>
            <w:shd w:val="clear" w:color="auto" w:fill="FFFFFF"/>
            <w:tcMar>
              <w:top w:w="15" w:type="dxa"/>
              <w:left w:w="15" w:type="dxa"/>
              <w:right w:w="15" w:type="dxa"/>
            </w:tcMar>
            <w:vAlign w:val="center"/>
          </w:tcPr>
          <w:p>
            <w:pPr>
              <w:widowControl/>
              <w:spacing w:line="300" w:lineRule="exact"/>
              <w:jc w:val="center"/>
              <w:textAlignment w:val="center"/>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单位</w:t>
            </w:r>
          </w:p>
        </w:tc>
        <w:tc>
          <w:tcPr>
            <w:tcW w:w="537" w:type="pct"/>
            <w:shd w:val="clear" w:color="auto" w:fill="FFFFFF"/>
            <w:tcMar>
              <w:top w:w="15" w:type="dxa"/>
              <w:left w:w="15" w:type="dxa"/>
              <w:right w:w="15" w:type="dxa"/>
            </w:tcMar>
            <w:vAlign w:val="center"/>
          </w:tcPr>
          <w:p>
            <w:pPr>
              <w:widowControl/>
              <w:spacing w:line="300" w:lineRule="exact"/>
              <w:jc w:val="center"/>
              <w:textAlignment w:val="center"/>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2020年</w:t>
            </w:r>
          </w:p>
        </w:tc>
        <w:tc>
          <w:tcPr>
            <w:tcW w:w="569" w:type="pct"/>
            <w:shd w:val="clear" w:color="auto" w:fill="FFFFFF"/>
            <w:vAlign w:val="center"/>
          </w:tcPr>
          <w:p>
            <w:pPr>
              <w:widowControl/>
              <w:spacing w:line="300" w:lineRule="exact"/>
              <w:jc w:val="center"/>
              <w:textAlignment w:val="center"/>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2025年</w:t>
            </w:r>
          </w:p>
        </w:tc>
        <w:tc>
          <w:tcPr>
            <w:tcW w:w="648" w:type="pct"/>
            <w:shd w:val="clear" w:color="auto" w:fill="FFFFFF"/>
          </w:tcPr>
          <w:p>
            <w:pPr>
              <w:widowControl/>
              <w:spacing w:line="300" w:lineRule="exact"/>
              <w:jc w:val="center"/>
              <w:textAlignment w:val="center"/>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指标性质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 w:hRule="atLeast"/>
          <w:jc w:val="center"/>
        </w:trPr>
        <w:tc>
          <w:tcPr>
            <w:tcW w:w="465" w:type="pct"/>
            <w:vMerge w:val="restart"/>
            <w:shd w:val="clear" w:color="auto" w:fill="FFFFFF"/>
            <w:tcMar>
              <w:top w:w="15" w:type="dxa"/>
              <w:left w:w="15" w:type="dxa"/>
              <w:right w:w="15" w:type="dxa"/>
            </w:tcMar>
            <w:vAlign w:val="center"/>
          </w:tcPr>
          <w:p>
            <w:pPr>
              <w:widowControl/>
              <w:spacing w:line="300" w:lineRule="exact"/>
              <w:jc w:val="center"/>
              <w:textAlignment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健康</w:t>
            </w:r>
          </w:p>
          <w:p>
            <w:pPr>
              <w:widowControl/>
              <w:spacing w:line="300" w:lineRule="exact"/>
              <w:jc w:val="center"/>
              <w:textAlignment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水平</w:t>
            </w:r>
          </w:p>
        </w:tc>
        <w:tc>
          <w:tcPr>
            <w:tcW w:w="32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1</w:t>
            </w:r>
          </w:p>
        </w:tc>
        <w:tc>
          <w:tcPr>
            <w:tcW w:w="1914" w:type="pct"/>
            <w:shd w:val="clear" w:color="auto" w:fill="FFFFFF"/>
            <w:tcMar>
              <w:top w:w="15" w:type="dxa"/>
              <w:left w:w="15" w:type="dxa"/>
              <w:right w:w="15" w:type="dxa"/>
            </w:tcMar>
            <w:vAlign w:val="center"/>
          </w:tcPr>
          <w:p>
            <w:pPr>
              <w:widowControl/>
              <w:spacing w:line="300" w:lineRule="exact"/>
              <w:jc w:val="left"/>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人均预期寿命</w:t>
            </w:r>
          </w:p>
        </w:tc>
        <w:tc>
          <w:tcPr>
            <w:tcW w:w="533"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岁</w:t>
            </w:r>
          </w:p>
        </w:tc>
        <w:tc>
          <w:tcPr>
            <w:tcW w:w="537"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lang w:val="en-US" w:eastAsia="zh-CN"/>
              </w:rPr>
              <w:t>80</w:t>
            </w:r>
            <w:r>
              <w:rPr>
                <w:rFonts w:hint="eastAsia" w:ascii="仿宋" w:hAnsi="仿宋" w:eastAsia="仿宋" w:cs="仿宋"/>
                <w:bCs/>
                <w:color w:val="auto"/>
                <w:kern w:val="0"/>
                <w:sz w:val="28"/>
                <w:szCs w:val="28"/>
                <w:highlight w:val="none"/>
              </w:rPr>
              <w:t>.5</w:t>
            </w:r>
          </w:p>
        </w:tc>
        <w:tc>
          <w:tcPr>
            <w:tcW w:w="56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8</w:t>
            </w:r>
            <w:r>
              <w:rPr>
                <w:rFonts w:hint="eastAsia" w:ascii="仿宋" w:hAnsi="仿宋" w:eastAsia="仿宋" w:cs="仿宋"/>
                <w:bCs/>
                <w:color w:val="auto"/>
                <w:kern w:val="0"/>
                <w:sz w:val="28"/>
                <w:szCs w:val="28"/>
                <w:highlight w:val="none"/>
                <w:lang w:val="en-US" w:eastAsia="zh-CN"/>
              </w:rPr>
              <w:t>1.5</w:t>
            </w:r>
            <w:r>
              <w:rPr>
                <w:rFonts w:hint="eastAsia" w:ascii="仿宋" w:hAnsi="仿宋" w:eastAsia="仿宋" w:cs="仿宋"/>
                <w:bCs/>
                <w:color w:val="auto"/>
                <w:kern w:val="0"/>
                <w:sz w:val="28"/>
                <w:szCs w:val="28"/>
                <w:highlight w:val="none"/>
              </w:rPr>
              <w:t>左右</w:t>
            </w:r>
          </w:p>
        </w:tc>
        <w:tc>
          <w:tcPr>
            <w:tcW w:w="648"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预期性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 w:hRule="atLeast"/>
          <w:jc w:val="center"/>
        </w:trPr>
        <w:tc>
          <w:tcPr>
            <w:tcW w:w="465" w:type="pct"/>
            <w:vMerge w:val="continue"/>
            <w:shd w:val="clear" w:color="auto" w:fill="FFFFFF"/>
            <w:tcMar>
              <w:top w:w="15" w:type="dxa"/>
              <w:left w:w="15" w:type="dxa"/>
              <w:right w:w="15" w:type="dxa"/>
            </w:tcMar>
            <w:vAlign w:val="center"/>
          </w:tcPr>
          <w:p>
            <w:pPr>
              <w:spacing w:line="300" w:lineRule="exact"/>
              <w:jc w:val="left"/>
              <w:rPr>
                <w:rFonts w:hint="eastAsia" w:ascii="仿宋" w:hAnsi="仿宋" w:eastAsia="仿宋" w:cs="仿宋"/>
                <w:color w:val="auto"/>
                <w:sz w:val="28"/>
                <w:szCs w:val="28"/>
              </w:rPr>
            </w:pPr>
          </w:p>
        </w:tc>
        <w:tc>
          <w:tcPr>
            <w:tcW w:w="32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2</w:t>
            </w:r>
          </w:p>
        </w:tc>
        <w:tc>
          <w:tcPr>
            <w:tcW w:w="1914" w:type="pct"/>
            <w:shd w:val="clear" w:color="auto" w:fill="FFFFFF"/>
            <w:tcMar>
              <w:top w:w="15" w:type="dxa"/>
              <w:left w:w="15" w:type="dxa"/>
              <w:right w:w="15" w:type="dxa"/>
            </w:tcMar>
            <w:vAlign w:val="center"/>
          </w:tcPr>
          <w:p>
            <w:pPr>
              <w:widowControl/>
              <w:spacing w:line="300" w:lineRule="exact"/>
              <w:jc w:val="left"/>
              <w:rPr>
                <w:rFonts w:hint="default"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健康预期寿命</w:t>
            </w:r>
            <w:bookmarkStart w:id="23" w:name="_GoBack"/>
            <w:bookmarkEnd w:id="23"/>
          </w:p>
        </w:tc>
        <w:tc>
          <w:tcPr>
            <w:tcW w:w="533"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岁</w:t>
            </w:r>
          </w:p>
        </w:tc>
        <w:tc>
          <w:tcPr>
            <w:tcW w:w="537"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rPr>
              <w:t>-</w:t>
            </w:r>
          </w:p>
        </w:tc>
        <w:tc>
          <w:tcPr>
            <w:tcW w:w="569" w:type="pct"/>
            <w:shd w:val="clear" w:color="auto" w:fill="FFFFFF"/>
            <w:vAlign w:val="center"/>
          </w:tcPr>
          <w:p>
            <w:pPr>
              <w:widowControl/>
              <w:spacing w:line="300" w:lineRule="exact"/>
              <w:jc w:val="center"/>
              <w:rPr>
                <w:rFonts w:hint="default"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同比例增加</w:t>
            </w:r>
          </w:p>
        </w:tc>
        <w:tc>
          <w:tcPr>
            <w:tcW w:w="648" w:type="pct"/>
            <w:shd w:val="clear" w:color="auto" w:fill="FFFFFF"/>
            <w:vAlign w:val="center"/>
          </w:tcPr>
          <w:p>
            <w:pPr>
              <w:widowControl/>
              <w:spacing w:line="300" w:lineRule="exact"/>
              <w:jc w:val="center"/>
              <w:rPr>
                <w:rFonts w:hint="default"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预期性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 w:hRule="atLeast"/>
          <w:jc w:val="center"/>
        </w:trPr>
        <w:tc>
          <w:tcPr>
            <w:tcW w:w="465" w:type="pct"/>
            <w:vMerge w:val="continue"/>
            <w:shd w:val="clear" w:color="auto" w:fill="FFFFFF"/>
            <w:tcMar>
              <w:top w:w="15" w:type="dxa"/>
              <w:left w:w="15" w:type="dxa"/>
              <w:right w:w="15" w:type="dxa"/>
            </w:tcMar>
            <w:vAlign w:val="center"/>
          </w:tcPr>
          <w:p>
            <w:pPr>
              <w:spacing w:line="300" w:lineRule="exact"/>
              <w:jc w:val="left"/>
              <w:rPr>
                <w:rFonts w:hint="eastAsia" w:ascii="仿宋" w:hAnsi="仿宋" w:eastAsia="仿宋" w:cs="仿宋"/>
                <w:color w:val="auto"/>
                <w:sz w:val="28"/>
                <w:szCs w:val="28"/>
              </w:rPr>
            </w:pPr>
          </w:p>
        </w:tc>
        <w:tc>
          <w:tcPr>
            <w:tcW w:w="32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3</w:t>
            </w:r>
          </w:p>
        </w:tc>
        <w:tc>
          <w:tcPr>
            <w:tcW w:w="1914" w:type="pct"/>
            <w:shd w:val="clear" w:color="auto" w:fill="FFFFFF"/>
            <w:tcMar>
              <w:top w:w="15" w:type="dxa"/>
              <w:left w:w="15" w:type="dxa"/>
              <w:right w:w="15" w:type="dxa"/>
            </w:tcMar>
            <w:vAlign w:val="center"/>
          </w:tcPr>
          <w:p>
            <w:pPr>
              <w:widowControl/>
              <w:spacing w:line="300" w:lineRule="exact"/>
              <w:jc w:val="left"/>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孕产妇死亡率</w:t>
            </w:r>
          </w:p>
        </w:tc>
        <w:tc>
          <w:tcPr>
            <w:tcW w:w="533"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/10万</w:t>
            </w:r>
          </w:p>
        </w:tc>
        <w:tc>
          <w:tcPr>
            <w:tcW w:w="537"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highlight w:val="none"/>
                <w:lang w:val="en-US" w:eastAsia="zh-CN"/>
              </w:rPr>
              <w:t>2.70</w:t>
            </w:r>
          </w:p>
        </w:tc>
        <w:tc>
          <w:tcPr>
            <w:tcW w:w="56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8.2</w:t>
            </w:r>
          </w:p>
        </w:tc>
        <w:tc>
          <w:tcPr>
            <w:tcW w:w="648" w:type="pct"/>
            <w:shd w:val="clear" w:color="auto" w:fill="FFFFFF"/>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预期性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 w:hRule="atLeast"/>
          <w:jc w:val="center"/>
        </w:trPr>
        <w:tc>
          <w:tcPr>
            <w:tcW w:w="465" w:type="pct"/>
            <w:vMerge w:val="continue"/>
            <w:shd w:val="clear" w:color="auto" w:fill="FFFFFF"/>
            <w:tcMar>
              <w:top w:w="15" w:type="dxa"/>
              <w:left w:w="15" w:type="dxa"/>
              <w:right w:w="15" w:type="dxa"/>
            </w:tcMar>
            <w:vAlign w:val="center"/>
          </w:tcPr>
          <w:p>
            <w:pPr>
              <w:spacing w:line="300" w:lineRule="exact"/>
              <w:jc w:val="left"/>
              <w:rPr>
                <w:rFonts w:hint="eastAsia" w:ascii="仿宋" w:hAnsi="仿宋" w:eastAsia="仿宋" w:cs="仿宋"/>
                <w:color w:val="auto"/>
                <w:sz w:val="28"/>
                <w:szCs w:val="28"/>
              </w:rPr>
            </w:pPr>
          </w:p>
        </w:tc>
        <w:tc>
          <w:tcPr>
            <w:tcW w:w="32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4</w:t>
            </w:r>
          </w:p>
        </w:tc>
        <w:tc>
          <w:tcPr>
            <w:tcW w:w="1914" w:type="pct"/>
            <w:shd w:val="clear" w:color="auto" w:fill="FFFFFF"/>
            <w:tcMar>
              <w:top w:w="15" w:type="dxa"/>
              <w:left w:w="15" w:type="dxa"/>
              <w:right w:w="15" w:type="dxa"/>
            </w:tcMar>
            <w:vAlign w:val="center"/>
          </w:tcPr>
          <w:p>
            <w:pPr>
              <w:widowControl/>
              <w:spacing w:line="300" w:lineRule="exact"/>
              <w:jc w:val="left"/>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婴儿死亡率</w:t>
            </w:r>
          </w:p>
        </w:tc>
        <w:tc>
          <w:tcPr>
            <w:tcW w:w="533"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w:t>
            </w:r>
          </w:p>
        </w:tc>
        <w:tc>
          <w:tcPr>
            <w:tcW w:w="537"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highlight w:val="none"/>
                <w:lang w:val="en-US" w:eastAsia="zh-CN"/>
              </w:rPr>
              <w:t>2.29</w:t>
            </w:r>
          </w:p>
        </w:tc>
        <w:tc>
          <w:tcPr>
            <w:tcW w:w="56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3.3</w:t>
            </w:r>
          </w:p>
        </w:tc>
        <w:tc>
          <w:tcPr>
            <w:tcW w:w="648" w:type="pct"/>
            <w:shd w:val="clear" w:color="auto" w:fill="FFFFFF"/>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预期性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 w:hRule="atLeast"/>
          <w:jc w:val="center"/>
        </w:trPr>
        <w:tc>
          <w:tcPr>
            <w:tcW w:w="465" w:type="pct"/>
            <w:vMerge w:val="continue"/>
            <w:shd w:val="clear" w:color="auto" w:fill="FFFFFF"/>
            <w:tcMar>
              <w:top w:w="15" w:type="dxa"/>
              <w:left w:w="15" w:type="dxa"/>
              <w:right w:w="15" w:type="dxa"/>
            </w:tcMar>
            <w:vAlign w:val="center"/>
          </w:tcPr>
          <w:p>
            <w:pPr>
              <w:spacing w:line="300" w:lineRule="exact"/>
              <w:jc w:val="left"/>
              <w:rPr>
                <w:rFonts w:hint="eastAsia" w:ascii="仿宋" w:hAnsi="仿宋" w:eastAsia="仿宋" w:cs="仿宋"/>
                <w:color w:val="auto"/>
                <w:sz w:val="28"/>
                <w:szCs w:val="28"/>
              </w:rPr>
            </w:pPr>
          </w:p>
        </w:tc>
        <w:tc>
          <w:tcPr>
            <w:tcW w:w="32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5</w:t>
            </w:r>
          </w:p>
        </w:tc>
        <w:tc>
          <w:tcPr>
            <w:tcW w:w="1914" w:type="pct"/>
            <w:shd w:val="clear" w:color="auto" w:fill="FFFFFF"/>
            <w:tcMar>
              <w:top w:w="15" w:type="dxa"/>
              <w:left w:w="15" w:type="dxa"/>
              <w:right w:w="15" w:type="dxa"/>
            </w:tcMar>
            <w:vAlign w:val="center"/>
          </w:tcPr>
          <w:p>
            <w:pPr>
              <w:widowControl/>
              <w:spacing w:line="300" w:lineRule="exact"/>
              <w:jc w:val="left"/>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5岁以下儿童死亡率</w:t>
            </w:r>
          </w:p>
        </w:tc>
        <w:tc>
          <w:tcPr>
            <w:tcW w:w="533"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w:t>
            </w:r>
          </w:p>
        </w:tc>
        <w:tc>
          <w:tcPr>
            <w:tcW w:w="537" w:type="pct"/>
            <w:shd w:val="clear" w:color="auto" w:fill="auto"/>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highlight w:val="none"/>
                <w:lang w:val="en-US" w:eastAsia="zh-CN"/>
              </w:rPr>
              <w:t>3.40</w:t>
            </w:r>
          </w:p>
        </w:tc>
        <w:tc>
          <w:tcPr>
            <w:tcW w:w="569" w:type="pct"/>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4.0</w:t>
            </w:r>
          </w:p>
        </w:tc>
        <w:tc>
          <w:tcPr>
            <w:tcW w:w="648" w:type="pct"/>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预期性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 w:hRule="atLeast"/>
          <w:jc w:val="center"/>
        </w:trPr>
        <w:tc>
          <w:tcPr>
            <w:tcW w:w="465" w:type="pct"/>
            <w:vMerge w:val="continue"/>
            <w:shd w:val="clear" w:color="auto" w:fill="FFFFFF"/>
            <w:tcMar>
              <w:top w:w="15" w:type="dxa"/>
              <w:left w:w="15" w:type="dxa"/>
              <w:right w:w="15" w:type="dxa"/>
            </w:tcMar>
            <w:vAlign w:val="center"/>
          </w:tcPr>
          <w:p>
            <w:pPr>
              <w:spacing w:line="300" w:lineRule="exact"/>
              <w:jc w:val="left"/>
              <w:rPr>
                <w:rFonts w:hint="eastAsia" w:ascii="仿宋" w:hAnsi="仿宋" w:eastAsia="仿宋" w:cs="仿宋"/>
                <w:color w:val="auto"/>
                <w:sz w:val="28"/>
                <w:szCs w:val="28"/>
              </w:rPr>
            </w:pPr>
          </w:p>
        </w:tc>
        <w:tc>
          <w:tcPr>
            <w:tcW w:w="32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6</w:t>
            </w:r>
          </w:p>
        </w:tc>
        <w:tc>
          <w:tcPr>
            <w:tcW w:w="1914" w:type="pct"/>
            <w:shd w:val="clear" w:color="auto" w:fill="FFFFFF"/>
            <w:tcMar>
              <w:top w:w="15" w:type="dxa"/>
              <w:left w:w="15" w:type="dxa"/>
              <w:right w:w="15" w:type="dxa"/>
            </w:tcMar>
            <w:vAlign w:val="center"/>
          </w:tcPr>
          <w:p>
            <w:pPr>
              <w:widowControl/>
              <w:spacing w:line="300" w:lineRule="exact"/>
              <w:jc w:val="left"/>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重大慢病过早死亡率</w:t>
            </w:r>
          </w:p>
        </w:tc>
        <w:tc>
          <w:tcPr>
            <w:tcW w:w="533"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w:t>
            </w:r>
          </w:p>
        </w:tc>
        <w:tc>
          <w:tcPr>
            <w:tcW w:w="537" w:type="pct"/>
            <w:shd w:val="clear" w:color="auto" w:fill="auto"/>
            <w:tcMar>
              <w:top w:w="15" w:type="dxa"/>
              <w:left w:w="15" w:type="dxa"/>
              <w:right w:w="15" w:type="dxa"/>
            </w:tcMar>
            <w:vAlign w:val="center"/>
          </w:tcPr>
          <w:p>
            <w:pPr>
              <w:widowControl/>
              <w:spacing w:line="300" w:lineRule="exact"/>
              <w:jc w:val="center"/>
              <w:rPr>
                <w:rFonts w:hint="default"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13.88</w:t>
            </w:r>
          </w:p>
        </w:tc>
        <w:tc>
          <w:tcPr>
            <w:tcW w:w="569" w:type="pct"/>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highlight w:val="none"/>
              </w:rPr>
              <w:t>14以下</w:t>
            </w:r>
          </w:p>
        </w:tc>
        <w:tc>
          <w:tcPr>
            <w:tcW w:w="648" w:type="pct"/>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预期性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 w:hRule="atLeast"/>
          <w:jc w:val="center"/>
        </w:trPr>
        <w:tc>
          <w:tcPr>
            <w:tcW w:w="465" w:type="pct"/>
            <w:vMerge w:val="restart"/>
            <w:shd w:val="clear" w:color="auto" w:fill="FFFFFF"/>
            <w:tcMar>
              <w:top w:w="15" w:type="dxa"/>
              <w:left w:w="15" w:type="dxa"/>
              <w:right w:w="15" w:type="dxa"/>
            </w:tcMar>
            <w:vAlign w:val="center"/>
          </w:tcPr>
          <w:p>
            <w:pPr>
              <w:widowControl/>
              <w:spacing w:line="300" w:lineRule="exact"/>
              <w:jc w:val="center"/>
              <w:textAlignment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健康</w:t>
            </w:r>
          </w:p>
          <w:p>
            <w:pPr>
              <w:widowControl/>
              <w:spacing w:line="300" w:lineRule="exact"/>
              <w:jc w:val="center"/>
              <w:textAlignment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生活</w:t>
            </w:r>
          </w:p>
        </w:tc>
        <w:tc>
          <w:tcPr>
            <w:tcW w:w="32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7</w:t>
            </w:r>
          </w:p>
        </w:tc>
        <w:tc>
          <w:tcPr>
            <w:tcW w:w="1914" w:type="pct"/>
            <w:shd w:val="clear" w:color="auto" w:fill="FFFFFF"/>
            <w:tcMar>
              <w:top w:w="15" w:type="dxa"/>
              <w:left w:w="15" w:type="dxa"/>
              <w:right w:w="15" w:type="dxa"/>
            </w:tcMar>
            <w:vAlign w:val="center"/>
          </w:tcPr>
          <w:p>
            <w:pPr>
              <w:widowControl/>
              <w:spacing w:line="300" w:lineRule="exact"/>
              <w:jc w:val="left"/>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居民健康素养水平</w:t>
            </w:r>
          </w:p>
        </w:tc>
        <w:tc>
          <w:tcPr>
            <w:tcW w:w="533"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w:t>
            </w:r>
          </w:p>
        </w:tc>
        <w:tc>
          <w:tcPr>
            <w:tcW w:w="537"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22</w:t>
            </w:r>
          </w:p>
        </w:tc>
        <w:tc>
          <w:tcPr>
            <w:tcW w:w="56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30</w:t>
            </w:r>
          </w:p>
        </w:tc>
        <w:tc>
          <w:tcPr>
            <w:tcW w:w="648" w:type="pct"/>
            <w:shd w:val="clear" w:color="auto" w:fill="FFFFFF"/>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预期性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 w:hRule="atLeast"/>
          <w:jc w:val="center"/>
        </w:trPr>
        <w:tc>
          <w:tcPr>
            <w:tcW w:w="465" w:type="pct"/>
            <w:vMerge w:val="continue"/>
            <w:shd w:val="clear" w:color="auto" w:fill="FFFFFF"/>
            <w:tcMar>
              <w:top w:w="15" w:type="dxa"/>
              <w:left w:w="15" w:type="dxa"/>
              <w:right w:w="15" w:type="dxa"/>
            </w:tcMar>
            <w:vAlign w:val="center"/>
          </w:tcPr>
          <w:p>
            <w:pPr>
              <w:widowControl/>
              <w:spacing w:line="300" w:lineRule="exact"/>
              <w:jc w:val="center"/>
              <w:textAlignment w:val="center"/>
              <w:rPr>
                <w:rFonts w:hint="eastAsia" w:ascii="仿宋" w:hAnsi="仿宋" w:eastAsia="仿宋" w:cs="仿宋"/>
                <w:color w:val="auto"/>
                <w:kern w:val="0"/>
                <w:sz w:val="28"/>
                <w:szCs w:val="28"/>
              </w:rPr>
            </w:pPr>
          </w:p>
        </w:tc>
        <w:tc>
          <w:tcPr>
            <w:tcW w:w="32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8</w:t>
            </w:r>
          </w:p>
        </w:tc>
        <w:tc>
          <w:tcPr>
            <w:tcW w:w="1914" w:type="pct"/>
            <w:shd w:val="clear" w:color="auto" w:fill="FFFFFF"/>
            <w:tcMar>
              <w:top w:w="15" w:type="dxa"/>
              <w:left w:w="15" w:type="dxa"/>
              <w:right w:w="15" w:type="dxa"/>
            </w:tcMar>
            <w:vAlign w:val="center"/>
          </w:tcPr>
          <w:p>
            <w:pPr>
              <w:widowControl/>
              <w:spacing w:line="300" w:lineRule="exact"/>
              <w:jc w:val="left"/>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15岁以上人群吸烟率</w:t>
            </w:r>
          </w:p>
        </w:tc>
        <w:tc>
          <w:tcPr>
            <w:tcW w:w="533"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w:t>
            </w:r>
          </w:p>
        </w:tc>
        <w:tc>
          <w:tcPr>
            <w:tcW w:w="537" w:type="pct"/>
            <w:shd w:val="clear" w:color="auto" w:fill="FFFFFF"/>
            <w:tcMar>
              <w:top w:w="15" w:type="dxa"/>
              <w:left w:w="15" w:type="dxa"/>
              <w:right w:w="15" w:type="dxa"/>
            </w:tcMar>
            <w:vAlign w:val="center"/>
          </w:tcPr>
          <w:p>
            <w:pPr>
              <w:widowControl/>
              <w:spacing w:line="300" w:lineRule="exact"/>
              <w:jc w:val="center"/>
              <w:rPr>
                <w:rFonts w:hint="default"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25.47（2018年）</w:t>
            </w:r>
          </w:p>
        </w:tc>
        <w:tc>
          <w:tcPr>
            <w:tcW w:w="56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20以下</w:t>
            </w:r>
          </w:p>
        </w:tc>
        <w:tc>
          <w:tcPr>
            <w:tcW w:w="648"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预期性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 w:hRule="atLeast"/>
          <w:jc w:val="center"/>
        </w:trPr>
        <w:tc>
          <w:tcPr>
            <w:tcW w:w="465" w:type="pct"/>
            <w:vMerge w:val="continue"/>
            <w:shd w:val="clear" w:color="auto" w:fill="FFFFFF"/>
            <w:tcMar>
              <w:top w:w="15" w:type="dxa"/>
              <w:left w:w="15" w:type="dxa"/>
              <w:right w:w="15" w:type="dxa"/>
            </w:tcMar>
            <w:vAlign w:val="center"/>
          </w:tcPr>
          <w:p>
            <w:pPr>
              <w:widowControl/>
              <w:spacing w:line="300" w:lineRule="exact"/>
              <w:jc w:val="center"/>
              <w:textAlignment w:val="center"/>
              <w:rPr>
                <w:rFonts w:hint="eastAsia" w:ascii="仿宋" w:hAnsi="仿宋" w:eastAsia="仿宋" w:cs="仿宋"/>
                <w:color w:val="auto"/>
                <w:kern w:val="0"/>
                <w:sz w:val="28"/>
                <w:szCs w:val="28"/>
              </w:rPr>
            </w:pPr>
          </w:p>
        </w:tc>
        <w:tc>
          <w:tcPr>
            <w:tcW w:w="32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9</w:t>
            </w:r>
          </w:p>
        </w:tc>
        <w:tc>
          <w:tcPr>
            <w:tcW w:w="1914" w:type="pct"/>
            <w:shd w:val="clear" w:color="auto" w:fill="FFFFFF"/>
            <w:tcMar>
              <w:top w:w="15" w:type="dxa"/>
              <w:left w:w="15" w:type="dxa"/>
              <w:right w:w="15" w:type="dxa"/>
            </w:tcMar>
            <w:vAlign w:val="center"/>
          </w:tcPr>
          <w:p>
            <w:pPr>
              <w:widowControl/>
              <w:spacing w:line="300" w:lineRule="exact"/>
              <w:jc w:val="left"/>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国家卫生城市（含进入评审程序）数量占比</w:t>
            </w:r>
          </w:p>
        </w:tc>
        <w:tc>
          <w:tcPr>
            <w:tcW w:w="533"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w:t>
            </w:r>
          </w:p>
        </w:tc>
        <w:tc>
          <w:tcPr>
            <w:tcW w:w="537" w:type="pct"/>
            <w:shd w:val="clear" w:color="auto" w:fill="FFFFFF"/>
            <w:tcMar>
              <w:top w:w="15" w:type="dxa"/>
              <w:left w:w="15" w:type="dxa"/>
              <w:right w:w="15" w:type="dxa"/>
            </w:tcMar>
            <w:vAlign w:val="center"/>
          </w:tcPr>
          <w:p>
            <w:pPr>
              <w:widowControl/>
              <w:spacing w:line="300" w:lineRule="exact"/>
              <w:jc w:val="center"/>
              <w:rPr>
                <w:rFonts w:hint="default"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57</w:t>
            </w:r>
          </w:p>
        </w:tc>
        <w:tc>
          <w:tcPr>
            <w:tcW w:w="56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100</w:t>
            </w:r>
          </w:p>
        </w:tc>
        <w:tc>
          <w:tcPr>
            <w:tcW w:w="648"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预期性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 w:hRule="atLeast"/>
          <w:jc w:val="center"/>
        </w:trPr>
        <w:tc>
          <w:tcPr>
            <w:tcW w:w="465" w:type="pct"/>
            <w:vMerge w:val="restart"/>
            <w:shd w:val="clear" w:color="auto" w:fill="FFFFFF"/>
            <w:tcMar>
              <w:top w:w="15" w:type="dxa"/>
              <w:left w:w="15" w:type="dxa"/>
              <w:right w:w="15" w:type="dxa"/>
            </w:tcMar>
            <w:vAlign w:val="center"/>
          </w:tcPr>
          <w:p>
            <w:pPr>
              <w:widowControl/>
              <w:spacing w:line="300" w:lineRule="exact"/>
              <w:jc w:val="center"/>
              <w:textAlignment w:val="cente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健康服务</w:t>
            </w:r>
          </w:p>
        </w:tc>
        <w:tc>
          <w:tcPr>
            <w:tcW w:w="329" w:type="pct"/>
            <w:shd w:val="clear" w:color="auto" w:fill="FFFFFF"/>
            <w:vAlign w:val="center"/>
          </w:tcPr>
          <w:p>
            <w:pPr>
              <w:widowControl/>
              <w:spacing w:line="300" w:lineRule="exact"/>
              <w:jc w:val="center"/>
              <w:rPr>
                <w:rFonts w:hint="default"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10</w:t>
            </w:r>
          </w:p>
        </w:tc>
        <w:tc>
          <w:tcPr>
            <w:tcW w:w="1914" w:type="pct"/>
            <w:shd w:val="clear" w:color="auto" w:fill="FFFFFF"/>
            <w:tcMar>
              <w:top w:w="15" w:type="dxa"/>
              <w:left w:w="15" w:type="dxa"/>
              <w:right w:w="15" w:type="dxa"/>
            </w:tcMar>
            <w:vAlign w:val="center"/>
          </w:tcPr>
          <w:p>
            <w:pPr>
              <w:widowControl/>
              <w:spacing w:line="300" w:lineRule="exact"/>
              <w:jc w:val="left"/>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每千人口医疗卫生机构床位数</w:t>
            </w:r>
          </w:p>
        </w:tc>
        <w:tc>
          <w:tcPr>
            <w:tcW w:w="533"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张</w:t>
            </w:r>
          </w:p>
        </w:tc>
        <w:tc>
          <w:tcPr>
            <w:tcW w:w="537"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6.06</w:t>
            </w:r>
          </w:p>
        </w:tc>
        <w:tc>
          <w:tcPr>
            <w:tcW w:w="569" w:type="pct"/>
            <w:shd w:val="clear" w:color="auto" w:fill="FFFFFF"/>
            <w:vAlign w:val="center"/>
          </w:tcPr>
          <w:p>
            <w:pPr>
              <w:widowControl/>
              <w:spacing w:line="300" w:lineRule="exact"/>
              <w:jc w:val="center"/>
              <w:rPr>
                <w:rFonts w:hint="default"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rPr>
              <w:t>7</w:t>
            </w:r>
            <w:r>
              <w:rPr>
                <w:rFonts w:hint="eastAsia" w:ascii="仿宋" w:hAnsi="仿宋" w:eastAsia="仿宋" w:cs="仿宋"/>
                <w:bCs/>
                <w:color w:val="auto"/>
                <w:kern w:val="0"/>
                <w:sz w:val="28"/>
                <w:szCs w:val="28"/>
                <w:lang w:val="en-US" w:eastAsia="zh-CN"/>
              </w:rPr>
              <w:t>.5</w:t>
            </w:r>
          </w:p>
        </w:tc>
        <w:tc>
          <w:tcPr>
            <w:tcW w:w="648"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预期性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 w:hRule="atLeast"/>
          <w:jc w:val="center"/>
        </w:trPr>
        <w:tc>
          <w:tcPr>
            <w:tcW w:w="465" w:type="pct"/>
            <w:vMerge w:val="continue"/>
            <w:shd w:val="clear" w:color="auto" w:fill="FFFFFF"/>
            <w:tcMar>
              <w:top w:w="15" w:type="dxa"/>
              <w:left w:w="15" w:type="dxa"/>
              <w:right w:w="15" w:type="dxa"/>
            </w:tcMar>
            <w:vAlign w:val="center"/>
          </w:tcPr>
          <w:p>
            <w:pPr>
              <w:widowControl/>
              <w:spacing w:line="300" w:lineRule="exact"/>
              <w:jc w:val="center"/>
              <w:textAlignment w:val="center"/>
              <w:rPr>
                <w:rFonts w:hint="eastAsia" w:ascii="仿宋" w:hAnsi="仿宋" w:eastAsia="仿宋" w:cs="仿宋"/>
                <w:color w:val="auto"/>
                <w:kern w:val="0"/>
                <w:sz w:val="28"/>
                <w:szCs w:val="28"/>
              </w:rPr>
            </w:pPr>
          </w:p>
        </w:tc>
        <w:tc>
          <w:tcPr>
            <w:tcW w:w="32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11</w:t>
            </w:r>
          </w:p>
        </w:tc>
        <w:tc>
          <w:tcPr>
            <w:tcW w:w="1914" w:type="pct"/>
            <w:shd w:val="clear" w:color="auto" w:fill="FFFFFF"/>
            <w:tcMar>
              <w:top w:w="15" w:type="dxa"/>
              <w:left w:w="15" w:type="dxa"/>
              <w:right w:w="15" w:type="dxa"/>
            </w:tcMar>
            <w:vAlign w:val="center"/>
          </w:tcPr>
          <w:p>
            <w:pPr>
              <w:widowControl/>
              <w:spacing w:line="300" w:lineRule="exact"/>
              <w:jc w:val="left"/>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lang w:val="en-US" w:eastAsia="zh-CN"/>
              </w:rPr>
              <w:t>每</w:t>
            </w:r>
            <w:r>
              <w:rPr>
                <w:rFonts w:hint="eastAsia" w:ascii="仿宋" w:hAnsi="仿宋" w:eastAsia="仿宋" w:cs="仿宋"/>
                <w:bCs/>
                <w:color w:val="auto"/>
                <w:kern w:val="0"/>
                <w:sz w:val="28"/>
                <w:szCs w:val="28"/>
              </w:rPr>
              <w:t>千人口3岁以下婴幼儿托位数</w:t>
            </w:r>
          </w:p>
        </w:tc>
        <w:tc>
          <w:tcPr>
            <w:tcW w:w="533"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张</w:t>
            </w:r>
          </w:p>
        </w:tc>
        <w:tc>
          <w:tcPr>
            <w:tcW w:w="537" w:type="pct"/>
            <w:shd w:val="clear" w:color="auto" w:fill="FFFFFF"/>
            <w:tcMar>
              <w:top w:w="15" w:type="dxa"/>
              <w:left w:w="15" w:type="dxa"/>
              <w:right w:w="15" w:type="dxa"/>
            </w:tcMar>
            <w:vAlign w:val="center"/>
          </w:tcPr>
          <w:p>
            <w:pPr>
              <w:widowControl/>
              <w:spacing w:line="300" w:lineRule="exact"/>
              <w:jc w:val="center"/>
              <w:rPr>
                <w:rFonts w:hint="default"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val="en-US" w:eastAsia="zh-CN"/>
              </w:rPr>
              <w:t>0.42</w:t>
            </w:r>
          </w:p>
        </w:tc>
        <w:tc>
          <w:tcPr>
            <w:tcW w:w="569" w:type="pct"/>
            <w:shd w:val="clear" w:color="auto" w:fill="FFFFFF"/>
            <w:vAlign w:val="center"/>
          </w:tcPr>
          <w:p>
            <w:pPr>
              <w:widowControl/>
              <w:spacing w:line="300" w:lineRule="exact"/>
              <w:jc w:val="center"/>
              <w:rPr>
                <w:rFonts w:hint="default"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val="en-US" w:eastAsia="zh-CN"/>
              </w:rPr>
              <w:t>4.5</w:t>
            </w:r>
          </w:p>
        </w:tc>
        <w:tc>
          <w:tcPr>
            <w:tcW w:w="648"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预期性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 w:hRule="atLeast"/>
          <w:jc w:val="center"/>
        </w:trPr>
        <w:tc>
          <w:tcPr>
            <w:tcW w:w="465" w:type="pct"/>
            <w:vMerge w:val="continue"/>
            <w:shd w:val="clear" w:color="auto" w:fill="FFFFFF"/>
            <w:tcMar>
              <w:top w:w="15" w:type="dxa"/>
              <w:left w:w="15" w:type="dxa"/>
              <w:right w:w="15" w:type="dxa"/>
            </w:tcMar>
            <w:vAlign w:val="center"/>
          </w:tcPr>
          <w:p>
            <w:pPr>
              <w:widowControl/>
              <w:spacing w:line="300" w:lineRule="exact"/>
              <w:jc w:val="center"/>
              <w:textAlignment w:val="center"/>
              <w:rPr>
                <w:rFonts w:hint="eastAsia" w:ascii="仿宋" w:hAnsi="仿宋" w:eastAsia="仿宋" w:cs="仿宋"/>
                <w:color w:val="auto"/>
                <w:kern w:val="0"/>
                <w:sz w:val="28"/>
                <w:szCs w:val="28"/>
              </w:rPr>
            </w:pPr>
          </w:p>
        </w:tc>
        <w:tc>
          <w:tcPr>
            <w:tcW w:w="32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12</w:t>
            </w:r>
          </w:p>
        </w:tc>
        <w:tc>
          <w:tcPr>
            <w:tcW w:w="1914" w:type="pct"/>
            <w:shd w:val="clear" w:color="auto" w:fill="FFFFFF"/>
            <w:tcMar>
              <w:top w:w="15" w:type="dxa"/>
              <w:left w:w="15" w:type="dxa"/>
              <w:right w:w="15" w:type="dxa"/>
            </w:tcMar>
            <w:vAlign w:val="center"/>
          </w:tcPr>
          <w:p>
            <w:pPr>
              <w:widowControl/>
              <w:spacing w:line="300" w:lineRule="exact"/>
              <w:jc w:val="left"/>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每千人口执业（助理）医师数</w:t>
            </w:r>
          </w:p>
        </w:tc>
        <w:tc>
          <w:tcPr>
            <w:tcW w:w="533"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人</w:t>
            </w:r>
          </w:p>
        </w:tc>
        <w:tc>
          <w:tcPr>
            <w:tcW w:w="537" w:type="pct"/>
            <w:shd w:val="clear" w:color="auto" w:fill="FFFFFF"/>
            <w:tcMar>
              <w:top w:w="15" w:type="dxa"/>
              <w:left w:w="15" w:type="dxa"/>
              <w:right w:w="15" w:type="dxa"/>
            </w:tcMar>
            <w:vAlign w:val="center"/>
          </w:tcPr>
          <w:p>
            <w:pPr>
              <w:widowControl/>
              <w:spacing w:line="300" w:lineRule="exact"/>
              <w:jc w:val="center"/>
              <w:rPr>
                <w:rFonts w:hint="default"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val="en-US" w:eastAsia="zh-CN"/>
              </w:rPr>
              <w:t>2.92</w:t>
            </w:r>
          </w:p>
        </w:tc>
        <w:tc>
          <w:tcPr>
            <w:tcW w:w="56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3.</w:t>
            </w:r>
            <w:r>
              <w:rPr>
                <w:rFonts w:hint="eastAsia" w:ascii="仿宋" w:hAnsi="仿宋" w:eastAsia="仿宋" w:cs="仿宋"/>
                <w:bCs/>
                <w:color w:val="auto"/>
                <w:kern w:val="0"/>
                <w:sz w:val="28"/>
                <w:szCs w:val="28"/>
                <w:highlight w:val="none"/>
                <w:lang w:val="en-US" w:eastAsia="zh-CN"/>
              </w:rPr>
              <w:t>8</w:t>
            </w:r>
            <w:r>
              <w:rPr>
                <w:rFonts w:hint="eastAsia" w:ascii="仿宋" w:hAnsi="仿宋" w:eastAsia="仿宋" w:cs="仿宋"/>
                <w:bCs/>
                <w:color w:val="auto"/>
                <w:kern w:val="0"/>
                <w:sz w:val="28"/>
                <w:szCs w:val="28"/>
                <w:highlight w:val="none"/>
              </w:rPr>
              <w:t>5</w:t>
            </w:r>
          </w:p>
        </w:tc>
        <w:tc>
          <w:tcPr>
            <w:tcW w:w="648"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预期性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 w:hRule="atLeast"/>
          <w:jc w:val="center"/>
        </w:trPr>
        <w:tc>
          <w:tcPr>
            <w:tcW w:w="465" w:type="pct"/>
            <w:vMerge w:val="continue"/>
            <w:shd w:val="clear" w:color="auto" w:fill="FFFFFF"/>
            <w:tcMar>
              <w:top w:w="15" w:type="dxa"/>
              <w:left w:w="15" w:type="dxa"/>
              <w:right w:w="15" w:type="dxa"/>
            </w:tcMar>
            <w:vAlign w:val="center"/>
          </w:tcPr>
          <w:p>
            <w:pPr>
              <w:widowControl/>
              <w:spacing w:line="300" w:lineRule="exact"/>
              <w:jc w:val="center"/>
              <w:textAlignment w:val="center"/>
              <w:rPr>
                <w:rFonts w:hint="eastAsia" w:ascii="仿宋" w:hAnsi="仿宋" w:eastAsia="仿宋" w:cs="仿宋"/>
                <w:color w:val="auto"/>
                <w:kern w:val="0"/>
                <w:sz w:val="28"/>
                <w:szCs w:val="28"/>
              </w:rPr>
            </w:pPr>
          </w:p>
        </w:tc>
        <w:tc>
          <w:tcPr>
            <w:tcW w:w="32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13</w:t>
            </w:r>
          </w:p>
        </w:tc>
        <w:tc>
          <w:tcPr>
            <w:tcW w:w="1914" w:type="pct"/>
            <w:shd w:val="clear" w:color="auto" w:fill="FFFFFF"/>
            <w:tcMar>
              <w:top w:w="15" w:type="dxa"/>
              <w:left w:w="15" w:type="dxa"/>
              <w:right w:w="15" w:type="dxa"/>
            </w:tcMar>
            <w:vAlign w:val="center"/>
          </w:tcPr>
          <w:p>
            <w:pPr>
              <w:widowControl/>
              <w:spacing w:line="300" w:lineRule="exact"/>
              <w:jc w:val="left"/>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每千人口中医执业类别执业（助理）医师数</w:t>
            </w:r>
          </w:p>
        </w:tc>
        <w:tc>
          <w:tcPr>
            <w:tcW w:w="533"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人</w:t>
            </w:r>
          </w:p>
        </w:tc>
        <w:tc>
          <w:tcPr>
            <w:tcW w:w="537" w:type="pct"/>
            <w:shd w:val="clear" w:color="auto" w:fill="FFFFFF"/>
            <w:tcMar>
              <w:top w:w="15" w:type="dxa"/>
              <w:left w:w="15" w:type="dxa"/>
              <w:right w:w="15" w:type="dxa"/>
            </w:tcMar>
            <w:vAlign w:val="center"/>
          </w:tcPr>
          <w:p>
            <w:pPr>
              <w:widowControl/>
              <w:spacing w:line="300" w:lineRule="exact"/>
              <w:jc w:val="center"/>
              <w:rPr>
                <w:rFonts w:hint="default"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val="en-US" w:eastAsia="zh-CN"/>
              </w:rPr>
              <w:t>0.55</w:t>
            </w:r>
          </w:p>
        </w:tc>
        <w:tc>
          <w:tcPr>
            <w:tcW w:w="56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0.62</w:t>
            </w:r>
          </w:p>
        </w:tc>
        <w:tc>
          <w:tcPr>
            <w:tcW w:w="648"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预期性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780" w:hRule="atLeast"/>
          <w:jc w:val="center"/>
        </w:trPr>
        <w:tc>
          <w:tcPr>
            <w:tcW w:w="465" w:type="pct"/>
            <w:vMerge w:val="continue"/>
            <w:shd w:val="clear" w:color="auto" w:fill="FFFFFF"/>
            <w:tcMar>
              <w:top w:w="15" w:type="dxa"/>
              <w:left w:w="15" w:type="dxa"/>
              <w:right w:w="15" w:type="dxa"/>
            </w:tcMar>
            <w:vAlign w:val="center"/>
          </w:tcPr>
          <w:p>
            <w:pPr>
              <w:widowControl/>
              <w:spacing w:line="300" w:lineRule="exact"/>
              <w:jc w:val="center"/>
              <w:textAlignment w:val="center"/>
              <w:rPr>
                <w:rFonts w:hint="eastAsia" w:ascii="仿宋" w:hAnsi="仿宋" w:eastAsia="仿宋" w:cs="仿宋"/>
                <w:color w:val="auto"/>
                <w:kern w:val="0"/>
                <w:sz w:val="28"/>
                <w:szCs w:val="28"/>
              </w:rPr>
            </w:pPr>
          </w:p>
        </w:tc>
        <w:tc>
          <w:tcPr>
            <w:tcW w:w="32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14</w:t>
            </w:r>
          </w:p>
        </w:tc>
        <w:tc>
          <w:tcPr>
            <w:tcW w:w="1914"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val="en-US" w:eastAsia="zh-CN"/>
              </w:rPr>
              <w:t>每千人口注册护士数</w:t>
            </w:r>
          </w:p>
        </w:tc>
        <w:tc>
          <w:tcPr>
            <w:tcW w:w="533"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人</w:t>
            </w:r>
          </w:p>
        </w:tc>
        <w:tc>
          <w:tcPr>
            <w:tcW w:w="537"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3.13</w:t>
            </w:r>
          </w:p>
        </w:tc>
        <w:tc>
          <w:tcPr>
            <w:tcW w:w="569" w:type="pct"/>
            <w:shd w:val="clear" w:color="auto" w:fill="FFFFFF"/>
            <w:vAlign w:val="center"/>
          </w:tcPr>
          <w:p>
            <w:pPr>
              <w:widowControl/>
              <w:spacing w:line="300" w:lineRule="exact"/>
              <w:jc w:val="center"/>
              <w:rPr>
                <w:rFonts w:hint="default"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highlight w:val="none"/>
                <w:lang w:val="en-US" w:eastAsia="zh-CN"/>
              </w:rPr>
              <w:t>4.82</w:t>
            </w:r>
          </w:p>
        </w:tc>
        <w:tc>
          <w:tcPr>
            <w:tcW w:w="648" w:type="pct"/>
            <w:shd w:val="clear" w:color="auto" w:fill="FFFFFF"/>
          </w:tcPr>
          <w:p>
            <w:pPr>
              <w:widowControl/>
              <w:spacing w:line="300" w:lineRule="exact"/>
              <w:jc w:val="center"/>
              <w:rPr>
                <w:rFonts w:hint="eastAsia" w:ascii="仿宋" w:hAnsi="仿宋" w:eastAsia="仿宋" w:cs="仿宋"/>
                <w:bCs/>
                <w:color w:val="auto"/>
                <w:kern w:val="0"/>
                <w:sz w:val="28"/>
                <w:szCs w:val="28"/>
                <w:lang w:val="en-US" w:eastAsia="zh-CN"/>
              </w:rPr>
            </w:pPr>
          </w:p>
          <w:p>
            <w:pPr>
              <w:widowControl/>
              <w:spacing w:line="300" w:lineRule="exact"/>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预期性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 w:hRule="atLeast"/>
          <w:jc w:val="center"/>
        </w:trPr>
        <w:tc>
          <w:tcPr>
            <w:tcW w:w="465" w:type="pct"/>
            <w:vMerge w:val="continue"/>
            <w:shd w:val="clear" w:color="auto" w:fill="FFFFFF"/>
            <w:tcMar>
              <w:top w:w="15" w:type="dxa"/>
              <w:left w:w="15" w:type="dxa"/>
              <w:right w:w="15" w:type="dxa"/>
            </w:tcMar>
            <w:vAlign w:val="center"/>
          </w:tcPr>
          <w:p>
            <w:pPr>
              <w:widowControl/>
              <w:spacing w:line="300" w:lineRule="exact"/>
              <w:jc w:val="center"/>
              <w:textAlignment w:val="center"/>
              <w:rPr>
                <w:rFonts w:hint="eastAsia" w:ascii="仿宋" w:hAnsi="仿宋" w:eastAsia="仿宋" w:cs="仿宋"/>
                <w:color w:val="auto"/>
                <w:kern w:val="0"/>
                <w:sz w:val="28"/>
                <w:szCs w:val="28"/>
              </w:rPr>
            </w:pPr>
          </w:p>
        </w:tc>
        <w:tc>
          <w:tcPr>
            <w:tcW w:w="329" w:type="pct"/>
            <w:shd w:val="clear" w:color="auto" w:fill="FFFFFF"/>
            <w:vAlign w:val="center"/>
          </w:tcPr>
          <w:p>
            <w:pPr>
              <w:widowControl/>
              <w:spacing w:line="300" w:lineRule="exact"/>
              <w:jc w:val="center"/>
              <w:rPr>
                <w:rFonts w:hint="default"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15</w:t>
            </w:r>
          </w:p>
        </w:tc>
        <w:tc>
          <w:tcPr>
            <w:tcW w:w="1914" w:type="pct"/>
            <w:shd w:val="clear" w:color="auto" w:fill="FFFFFF"/>
            <w:tcMar>
              <w:top w:w="15" w:type="dxa"/>
              <w:left w:w="15" w:type="dxa"/>
              <w:right w:w="15" w:type="dxa"/>
            </w:tcMar>
            <w:vAlign w:val="center"/>
          </w:tcPr>
          <w:p>
            <w:pPr>
              <w:widowControl/>
              <w:spacing w:line="300" w:lineRule="exact"/>
              <w:jc w:val="left"/>
              <w:rPr>
                <w:rFonts w:hint="default"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val="en-US" w:eastAsia="zh-CN"/>
              </w:rPr>
              <w:t>每千人口药师（士）数</w:t>
            </w:r>
          </w:p>
        </w:tc>
        <w:tc>
          <w:tcPr>
            <w:tcW w:w="533" w:type="pct"/>
            <w:shd w:val="clear" w:color="auto" w:fill="FFFFFF"/>
            <w:tcMar>
              <w:top w:w="15" w:type="dxa"/>
              <w:left w:w="15" w:type="dxa"/>
              <w:right w:w="15" w:type="dxa"/>
            </w:tcMar>
            <w:vAlign w:val="center"/>
          </w:tcPr>
          <w:p>
            <w:pPr>
              <w:widowControl/>
              <w:spacing w:line="300" w:lineRule="exact"/>
              <w:jc w:val="center"/>
              <w:rPr>
                <w:rFonts w:hint="default"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val="en-US" w:eastAsia="zh-CN"/>
              </w:rPr>
              <w:t>人</w:t>
            </w:r>
          </w:p>
        </w:tc>
        <w:tc>
          <w:tcPr>
            <w:tcW w:w="537" w:type="pct"/>
            <w:shd w:val="clear" w:color="auto" w:fill="FFFFFF"/>
            <w:tcMar>
              <w:top w:w="15" w:type="dxa"/>
              <w:left w:w="15" w:type="dxa"/>
              <w:right w:w="15" w:type="dxa"/>
            </w:tcMar>
            <w:vAlign w:val="center"/>
          </w:tcPr>
          <w:p>
            <w:pPr>
              <w:widowControl/>
              <w:spacing w:line="300" w:lineRule="exact"/>
              <w:jc w:val="center"/>
              <w:rPr>
                <w:rFonts w:hint="default"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val="en-US" w:eastAsia="zh-CN"/>
              </w:rPr>
              <w:t>-</w:t>
            </w:r>
          </w:p>
        </w:tc>
        <w:tc>
          <w:tcPr>
            <w:tcW w:w="569" w:type="pct"/>
            <w:shd w:val="clear" w:color="auto" w:fill="FFFFFF"/>
            <w:vAlign w:val="center"/>
          </w:tcPr>
          <w:p>
            <w:pPr>
              <w:widowControl/>
              <w:spacing w:line="300" w:lineRule="exact"/>
              <w:jc w:val="center"/>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0.54</w:t>
            </w:r>
          </w:p>
        </w:tc>
        <w:tc>
          <w:tcPr>
            <w:tcW w:w="648"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val="en-US" w:eastAsia="zh-CN"/>
              </w:rPr>
              <w:t>约束性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 w:hRule="atLeast"/>
          <w:jc w:val="center"/>
        </w:trPr>
        <w:tc>
          <w:tcPr>
            <w:tcW w:w="465" w:type="pct"/>
            <w:vMerge w:val="continue"/>
            <w:shd w:val="clear" w:color="auto" w:fill="FFFFFF"/>
            <w:tcMar>
              <w:top w:w="15" w:type="dxa"/>
              <w:left w:w="15" w:type="dxa"/>
              <w:right w:w="15" w:type="dxa"/>
            </w:tcMar>
            <w:vAlign w:val="center"/>
          </w:tcPr>
          <w:p>
            <w:pPr>
              <w:widowControl/>
              <w:spacing w:line="300" w:lineRule="exact"/>
              <w:jc w:val="center"/>
              <w:textAlignment w:val="center"/>
              <w:rPr>
                <w:rFonts w:hint="eastAsia" w:ascii="仿宋" w:hAnsi="仿宋" w:eastAsia="仿宋" w:cs="仿宋"/>
                <w:color w:val="auto"/>
                <w:kern w:val="0"/>
                <w:sz w:val="28"/>
                <w:szCs w:val="28"/>
              </w:rPr>
            </w:pPr>
          </w:p>
        </w:tc>
        <w:tc>
          <w:tcPr>
            <w:tcW w:w="32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rPr>
              <w:t>1</w:t>
            </w:r>
            <w:r>
              <w:rPr>
                <w:rFonts w:hint="eastAsia" w:ascii="仿宋" w:hAnsi="仿宋" w:eastAsia="仿宋" w:cs="仿宋"/>
                <w:bCs/>
                <w:color w:val="auto"/>
                <w:kern w:val="0"/>
                <w:sz w:val="28"/>
                <w:szCs w:val="28"/>
                <w:lang w:val="en-US" w:eastAsia="zh-CN"/>
              </w:rPr>
              <w:t>6</w:t>
            </w:r>
          </w:p>
        </w:tc>
        <w:tc>
          <w:tcPr>
            <w:tcW w:w="1914" w:type="pct"/>
            <w:shd w:val="clear" w:color="auto" w:fill="FFFFFF"/>
            <w:tcMar>
              <w:top w:w="15" w:type="dxa"/>
              <w:left w:w="15" w:type="dxa"/>
              <w:right w:w="15" w:type="dxa"/>
            </w:tcMar>
            <w:vAlign w:val="center"/>
          </w:tcPr>
          <w:p>
            <w:pPr>
              <w:widowControl/>
              <w:spacing w:line="300" w:lineRule="exact"/>
              <w:jc w:val="left"/>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每千人口公共卫生人员数</w:t>
            </w:r>
          </w:p>
        </w:tc>
        <w:tc>
          <w:tcPr>
            <w:tcW w:w="533"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人</w:t>
            </w:r>
          </w:p>
        </w:tc>
        <w:tc>
          <w:tcPr>
            <w:tcW w:w="537"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0.54</w:t>
            </w:r>
          </w:p>
        </w:tc>
        <w:tc>
          <w:tcPr>
            <w:tcW w:w="569" w:type="pct"/>
            <w:shd w:val="clear" w:color="auto" w:fill="FFFFFF"/>
            <w:vAlign w:val="center"/>
          </w:tcPr>
          <w:p>
            <w:pPr>
              <w:widowControl/>
              <w:spacing w:line="300" w:lineRule="exact"/>
              <w:jc w:val="center"/>
              <w:rPr>
                <w:rFonts w:hint="default" w:ascii="仿宋" w:hAnsi="仿宋" w:eastAsia="仿宋" w:cs="仿宋"/>
                <w:bCs/>
                <w:color w:val="auto"/>
                <w:kern w:val="0"/>
                <w:sz w:val="28"/>
                <w:szCs w:val="28"/>
                <w:lang w:val="en-US"/>
              </w:rPr>
            </w:pPr>
            <w:r>
              <w:rPr>
                <w:rFonts w:hint="eastAsia" w:ascii="仿宋" w:hAnsi="仿宋" w:eastAsia="仿宋" w:cs="仿宋"/>
                <w:color w:val="auto"/>
                <w:kern w:val="0"/>
                <w:sz w:val="28"/>
                <w:szCs w:val="28"/>
                <w:lang w:val="en-US" w:eastAsia="zh-CN"/>
              </w:rPr>
              <w:t>0.85</w:t>
            </w:r>
          </w:p>
        </w:tc>
        <w:tc>
          <w:tcPr>
            <w:tcW w:w="648"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预期性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 w:hRule="atLeast"/>
          <w:jc w:val="center"/>
        </w:trPr>
        <w:tc>
          <w:tcPr>
            <w:tcW w:w="465" w:type="pct"/>
            <w:vMerge w:val="continue"/>
            <w:shd w:val="clear" w:color="auto" w:fill="FFFFFF"/>
            <w:tcMar>
              <w:top w:w="15" w:type="dxa"/>
              <w:left w:w="15" w:type="dxa"/>
              <w:right w:w="15" w:type="dxa"/>
            </w:tcMar>
            <w:vAlign w:val="center"/>
          </w:tcPr>
          <w:p>
            <w:pPr>
              <w:widowControl/>
              <w:spacing w:line="300" w:lineRule="exact"/>
              <w:jc w:val="center"/>
              <w:textAlignment w:val="center"/>
              <w:rPr>
                <w:rFonts w:hint="eastAsia" w:ascii="仿宋" w:hAnsi="仿宋" w:eastAsia="仿宋" w:cs="仿宋"/>
                <w:color w:val="auto"/>
                <w:kern w:val="0"/>
                <w:sz w:val="28"/>
                <w:szCs w:val="28"/>
              </w:rPr>
            </w:pPr>
          </w:p>
        </w:tc>
        <w:tc>
          <w:tcPr>
            <w:tcW w:w="32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rPr>
              <w:t>1</w:t>
            </w:r>
            <w:r>
              <w:rPr>
                <w:rFonts w:hint="eastAsia" w:ascii="仿宋" w:hAnsi="仿宋" w:eastAsia="仿宋" w:cs="仿宋"/>
                <w:bCs/>
                <w:color w:val="auto"/>
                <w:kern w:val="0"/>
                <w:sz w:val="28"/>
                <w:szCs w:val="28"/>
                <w:lang w:val="en-US" w:eastAsia="zh-CN"/>
              </w:rPr>
              <w:t>7</w:t>
            </w:r>
          </w:p>
        </w:tc>
        <w:tc>
          <w:tcPr>
            <w:tcW w:w="1914" w:type="pct"/>
            <w:shd w:val="clear" w:color="auto" w:fill="FFFFFF"/>
            <w:tcMar>
              <w:top w:w="15" w:type="dxa"/>
              <w:left w:w="15" w:type="dxa"/>
              <w:right w:w="15" w:type="dxa"/>
            </w:tcMar>
            <w:vAlign w:val="center"/>
          </w:tcPr>
          <w:p>
            <w:pPr>
              <w:widowControl/>
              <w:spacing w:line="300" w:lineRule="exact"/>
              <w:jc w:val="left"/>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每万人口全科医生数</w:t>
            </w:r>
          </w:p>
        </w:tc>
        <w:tc>
          <w:tcPr>
            <w:tcW w:w="533"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人</w:t>
            </w:r>
          </w:p>
        </w:tc>
        <w:tc>
          <w:tcPr>
            <w:tcW w:w="537"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1.86</w:t>
            </w:r>
          </w:p>
        </w:tc>
        <w:tc>
          <w:tcPr>
            <w:tcW w:w="56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4</w:t>
            </w:r>
          </w:p>
        </w:tc>
        <w:tc>
          <w:tcPr>
            <w:tcW w:w="648" w:type="pct"/>
            <w:shd w:val="clear" w:color="auto" w:fill="FFFFFF"/>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约束性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 w:hRule="atLeast"/>
          <w:jc w:val="center"/>
        </w:trPr>
        <w:tc>
          <w:tcPr>
            <w:tcW w:w="465" w:type="pct"/>
            <w:vMerge w:val="continue"/>
            <w:shd w:val="clear" w:color="auto" w:fill="FFFFFF"/>
            <w:tcMar>
              <w:top w:w="15" w:type="dxa"/>
              <w:left w:w="15" w:type="dxa"/>
              <w:right w:w="15" w:type="dxa"/>
            </w:tcMar>
            <w:vAlign w:val="center"/>
          </w:tcPr>
          <w:p>
            <w:pPr>
              <w:spacing w:line="300" w:lineRule="exact"/>
              <w:jc w:val="center"/>
              <w:textAlignment w:val="center"/>
              <w:rPr>
                <w:rFonts w:hint="eastAsia" w:ascii="仿宋" w:hAnsi="仿宋" w:eastAsia="仿宋" w:cs="仿宋"/>
                <w:color w:val="auto"/>
                <w:sz w:val="28"/>
                <w:szCs w:val="28"/>
              </w:rPr>
            </w:pPr>
          </w:p>
        </w:tc>
        <w:tc>
          <w:tcPr>
            <w:tcW w:w="329" w:type="pct"/>
            <w:vAlign w:val="center"/>
          </w:tcPr>
          <w:p>
            <w:pPr>
              <w:widowControl/>
              <w:spacing w:line="300" w:lineRule="exact"/>
              <w:jc w:val="center"/>
              <w:rPr>
                <w:rFonts w:hint="default"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18</w:t>
            </w:r>
          </w:p>
        </w:tc>
        <w:tc>
          <w:tcPr>
            <w:tcW w:w="1914" w:type="pct"/>
            <w:shd w:val="clear" w:color="auto" w:fill="auto"/>
            <w:tcMar>
              <w:top w:w="15" w:type="dxa"/>
              <w:left w:w="15" w:type="dxa"/>
              <w:right w:w="15" w:type="dxa"/>
            </w:tcMar>
            <w:vAlign w:val="center"/>
          </w:tcPr>
          <w:p>
            <w:pPr>
              <w:widowControl/>
              <w:spacing w:line="300" w:lineRule="exact"/>
              <w:jc w:val="left"/>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青少年总体近视率</w:t>
            </w:r>
          </w:p>
        </w:tc>
        <w:tc>
          <w:tcPr>
            <w:tcW w:w="533" w:type="pct"/>
            <w:shd w:val="clear" w:color="auto" w:fill="auto"/>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w:t>
            </w:r>
          </w:p>
        </w:tc>
        <w:tc>
          <w:tcPr>
            <w:tcW w:w="537" w:type="pct"/>
            <w:shd w:val="clear" w:color="auto" w:fill="auto"/>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w:t>
            </w:r>
          </w:p>
        </w:tc>
        <w:tc>
          <w:tcPr>
            <w:tcW w:w="569" w:type="pct"/>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力争每年降低1个百分点</w:t>
            </w:r>
          </w:p>
        </w:tc>
        <w:tc>
          <w:tcPr>
            <w:tcW w:w="648" w:type="pct"/>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约束性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 w:hRule="atLeast"/>
          <w:jc w:val="center"/>
        </w:trPr>
        <w:tc>
          <w:tcPr>
            <w:tcW w:w="465" w:type="pct"/>
            <w:vMerge w:val="continue"/>
            <w:shd w:val="clear" w:color="auto" w:fill="FFFFFF"/>
            <w:tcMar>
              <w:top w:w="15" w:type="dxa"/>
              <w:left w:w="15" w:type="dxa"/>
              <w:right w:w="15" w:type="dxa"/>
            </w:tcMar>
            <w:vAlign w:val="center"/>
          </w:tcPr>
          <w:p>
            <w:pPr>
              <w:spacing w:line="300" w:lineRule="exact"/>
              <w:jc w:val="center"/>
              <w:rPr>
                <w:rFonts w:hint="eastAsia" w:ascii="仿宋" w:hAnsi="仿宋" w:eastAsia="仿宋" w:cs="仿宋"/>
                <w:color w:val="auto"/>
                <w:sz w:val="28"/>
                <w:szCs w:val="28"/>
              </w:rPr>
            </w:pPr>
          </w:p>
        </w:tc>
        <w:tc>
          <w:tcPr>
            <w:tcW w:w="329" w:type="pct"/>
            <w:vAlign w:val="center"/>
          </w:tcPr>
          <w:p>
            <w:pPr>
              <w:widowControl/>
              <w:spacing w:line="300" w:lineRule="exact"/>
              <w:jc w:val="center"/>
              <w:rPr>
                <w:rFonts w:hint="default"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19</w:t>
            </w:r>
          </w:p>
        </w:tc>
        <w:tc>
          <w:tcPr>
            <w:tcW w:w="1914" w:type="pct"/>
            <w:shd w:val="clear" w:color="auto" w:fill="auto"/>
            <w:tcMar>
              <w:top w:w="15" w:type="dxa"/>
              <w:left w:w="15" w:type="dxa"/>
              <w:right w:w="15" w:type="dxa"/>
            </w:tcMar>
            <w:vAlign w:val="center"/>
          </w:tcPr>
          <w:p>
            <w:pPr>
              <w:widowControl/>
              <w:spacing w:line="300" w:lineRule="exact"/>
              <w:jc w:val="left"/>
              <w:rPr>
                <w:rFonts w:hint="default"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二级及以上综合性医院设置老年医学科的比例</w:t>
            </w:r>
          </w:p>
        </w:tc>
        <w:tc>
          <w:tcPr>
            <w:tcW w:w="533" w:type="pct"/>
            <w:shd w:val="clear" w:color="auto" w:fill="auto"/>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w:t>
            </w:r>
          </w:p>
        </w:tc>
        <w:tc>
          <w:tcPr>
            <w:tcW w:w="537" w:type="pct"/>
            <w:shd w:val="clear" w:color="auto" w:fill="auto"/>
            <w:tcMar>
              <w:top w:w="15" w:type="dxa"/>
              <w:left w:w="15" w:type="dxa"/>
              <w:right w:w="15" w:type="dxa"/>
            </w:tcMar>
            <w:vAlign w:val="center"/>
          </w:tcPr>
          <w:p>
            <w:pPr>
              <w:widowControl/>
              <w:spacing w:line="300" w:lineRule="exact"/>
              <w:jc w:val="center"/>
              <w:rPr>
                <w:rFonts w:hint="default" w:ascii="仿宋" w:hAnsi="仿宋" w:eastAsia="仿宋" w:cs="仿宋"/>
                <w:bCs/>
                <w:color w:val="auto"/>
                <w:kern w:val="0"/>
                <w:sz w:val="28"/>
                <w:szCs w:val="28"/>
                <w:highlight w:val="yellow"/>
                <w:lang w:val="en-US" w:eastAsia="zh-CN"/>
              </w:rPr>
            </w:pPr>
            <w:r>
              <w:rPr>
                <w:rFonts w:hint="eastAsia" w:ascii="仿宋" w:hAnsi="仿宋" w:eastAsia="仿宋" w:cs="仿宋"/>
                <w:bCs/>
                <w:color w:val="auto"/>
                <w:kern w:val="0"/>
                <w:sz w:val="28"/>
                <w:szCs w:val="28"/>
                <w:lang w:val="en-US" w:eastAsia="zh-CN"/>
              </w:rPr>
              <w:t>90</w:t>
            </w:r>
          </w:p>
        </w:tc>
        <w:tc>
          <w:tcPr>
            <w:tcW w:w="569" w:type="pct"/>
            <w:vAlign w:val="center"/>
          </w:tcPr>
          <w:p>
            <w:pPr>
              <w:widowControl/>
              <w:spacing w:line="300" w:lineRule="exact"/>
              <w:jc w:val="center"/>
              <w:rPr>
                <w:rFonts w:hint="default" w:ascii="仿宋" w:hAnsi="仿宋" w:eastAsia="仿宋" w:cs="仿宋"/>
                <w:color w:val="auto"/>
                <w:kern w:val="0"/>
                <w:sz w:val="28"/>
                <w:szCs w:val="28"/>
                <w:highlight w:val="yellow"/>
                <w:lang w:val="en-US" w:eastAsia="zh-CN"/>
              </w:rPr>
            </w:pPr>
            <w:r>
              <w:rPr>
                <w:rFonts w:hint="eastAsia" w:ascii="仿宋" w:hAnsi="仿宋" w:eastAsia="仿宋" w:cs="仿宋"/>
                <w:color w:val="auto"/>
                <w:kern w:val="0"/>
                <w:sz w:val="28"/>
                <w:szCs w:val="28"/>
                <w:highlight w:val="none"/>
                <w:lang w:val="en-US" w:eastAsia="zh-CN"/>
              </w:rPr>
              <w:t>100</w:t>
            </w:r>
          </w:p>
        </w:tc>
        <w:tc>
          <w:tcPr>
            <w:tcW w:w="648" w:type="pct"/>
            <w:vAlign w:val="center"/>
          </w:tcPr>
          <w:p>
            <w:pPr>
              <w:widowControl/>
              <w:spacing w:line="300" w:lineRule="exact"/>
              <w:jc w:val="center"/>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预期性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 w:hRule="atLeast"/>
          <w:jc w:val="center"/>
        </w:trPr>
        <w:tc>
          <w:tcPr>
            <w:tcW w:w="465" w:type="pct"/>
            <w:vMerge w:val="continue"/>
            <w:shd w:val="clear" w:color="auto" w:fill="FFFFFF"/>
            <w:tcMar>
              <w:top w:w="15" w:type="dxa"/>
              <w:left w:w="15" w:type="dxa"/>
              <w:right w:w="15" w:type="dxa"/>
            </w:tcMar>
            <w:vAlign w:val="center"/>
          </w:tcPr>
          <w:p>
            <w:pPr>
              <w:spacing w:line="300" w:lineRule="exact"/>
              <w:jc w:val="center"/>
              <w:rPr>
                <w:rFonts w:hint="eastAsia" w:ascii="仿宋" w:hAnsi="仿宋" w:eastAsia="仿宋" w:cs="仿宋"/>
                <w:color w:val="auto"/>
                <w:sz w:val="28"/>
                <w:szCs w:val="28"/>
              </w:rPr>
            </w:pPr>
          </w:p>
        </w:tc>
        <w:tc>
          <w:tcPr>
            <w:tcW w:w="329" w:type="pct"/>
            <w:vAlign w:val="center"/>
          </w:tcPr>
          <w:p>
            <w:pPr>
              <w:widowControl/>
              <w:spacing w:line="300" w:lineRule="exact"/>
              <w:jc w:val="center"/>
              <w:rPr>
                <w:rFonts w:hint="default"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20</w:t>
            </w:r>
          </w:p>
        </w:tc>
        <w:tc>
          <w:tcPr>
            <w:tcW w:w="1914" w:type="pct"/>
            <w:shd w:val="clear" w:color="auto" w:fill="auto"/>
            <w:tcMar>
              <w:top w:w="15" w:type="dxa"/>
              <w:left w:w="15" w:type="dxa"/>
              <w:right w:w="15" w:type="dxa"/>
            </w:tcMar>
            <w:vAlign w:val="center"/>
          </w:tcPr>
          <w:p>
            <w:pPr>
              <w:widowControl/>
              <w:spacing w:line="300" w:lineRule="exact"/>
              <w:jc w:val="left"/>
              <w:rPr>
                <w:rFonts w:hint="default"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政府办综合医院、妇幼保健院、传染病院中医药科室设置比例</w:t>
            </w:r>
          </w:p>
        </w:tc>
        <w:tc>
          <w:tcPr>
            <w:tcW w:w="533" w:type="pct"/>
            <w:shd w:val="clear" w:color="auto" w:fill="auto"/>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w:t>
            </w:r>
          </w:p>
        </w:tc>
        <w:tc>
          <w:tcPr>
            <w:tcW w:w="537" w:type="pct"/>
            <w:shd w:val="clear" w:color="auto" w:fill="auto"/>
            <w:tcMar>
              <w:top w:w="15" w:type="dxa"/>
              <w:left w:w="15" w:type="dxa"/>
              <w:right w:w="15" w:type="dxa"/>
            </w:tcMar>
            <w:vAlign w:val="center"/>
          </w:tcPr>
          <w:p>
            <w:pPr>
              <w:widowControl/>
              <w:spacing w:line="300" w:lineRule="exact"/>
              <w:jc w:val="center"/>
              <w:rPr>
                <w:rFonts w:hint="default"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w:t>
            </w:r>
          </w:p>
        </w:tc>
        <w:tc>
          <w:tcPr>
            <w:tcW w:w="569" w:type="pct"/>
            <w:vAlign w:val="center"/>
          </w:tcPr>
          <w:p>
            <w:pPr>
              <w:widowControl/>
              <w:spacing w:line="300" w:lineRule="exact"/>
              <w:jc w:val="cente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highlight w:val="none"/>
                <w:lang w:val="en-US" w:eastAsia="zh-CN"/>
              </w:rPr>
              <w:t>100</w:t>
            </w:r>
          </w:p>
        </w:tc>
        <w:tc>
          <w:tcPr>
            <w:tcW w:w="648" w:type="pct"/>
            <w:vAlign w:val="center"/>
          </w:tcPr>
          <w:p>
            <w:pPr>
              <w:widowControl/>
              <w:spacing w:line="300" w:lineRule="exact"/>
              <w:jc w:val="center"/>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预期性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32" w:hRule="atLeast"/>
          <w:jc w:val="center"/>
        </w:trPr>
        <w:tc>
          <w:tcPr>
            <w:tcW w:w="465" w:type="pct"/>
            <w:shd w:val="clear" w:color="auto" w:fill="FFFFFF"/>
            <w:tcMar>
              <w:top w:w="15" w:type="dxa"/>
              <w:left w:w="15" w:type="dxa"/>
              <w:right w:w="15" w:type="dxa"/>
            </w:tcMar>
            <w:vAlign w:val="center"/>
          </w:tcPr>
          <w:p>
            <w:pPr>
              <w:widowControl/>
              <w:spacing w:line="300" w:lineRule="exact"/>
              <w:jc w:val="center"/>
              <w:textAlignment w:val="center"/>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健康</w:t>
            </w:r>
          </w:p>
          <w:p>
            <w:pPr>
              <w:widowControl/>
              <w:spacing w:line="300" w:lineRule="exact"/>
              <w:jc w:val="center"/>
              <w:textAlignment w:val="center"/>
              <w:rPr>
                <w:rFonts w:hint="eastAsia" w:ascii="仿宋" w:hAnsi="仿宋" w:eastAsia="仿宋" w:cs="仿宋"/>
                <w:color w:val="auto"/>
                <w:sz w:val="28"/>
                <w:szCs w:val="28"/>
              </w:rPr>
            </w:pPr>
            <w:r>
              <w:rPr>
                <w:rFonts w:hint="eastAsia" w:ascii="仿宋" w:hAnsi="仿宋" w:eastAsia="仿宋" w:cs="仿宋"/>
                <w:color w:val="auto"/>
                <w:kern w:val="0"/>
                <w:sz w:val="28"/>
                <w:szCs w:val="28"/>
              </w:rPr>
              <w:t>保障</w:t>
            </w:r>
          </w:p>
        </w:tc>
        <w:tc>
          <w:tcPr>
            <w:tcW w:w="32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lang w:val="en-US" w:eastAsia="zh-CN"/>
              </w:rPr>
              <w:t>2</w:t>
            </w:r>
            <w:r>
              <w:rPr>
                <w:rFonts w:hint="eastAsia" w:ascii="仿宋" w:hAnsi="仿宋" w:eastAsia="仿宋" w:cs="仿宋"/>
                <w:bCs/>
                <w:color w:val="auto"/>
                <w:kern w:val="0"/>
                <w:sz w:val="28"/>
                <w:szCs w:val="28"/>
              </w:rPr>
              <w:t>1</w:t>
            </w:r>
          </w:p>
        </w:tc>
        <w:tc>
          <w:tcPr>
            <w:tcW w:w="1914" w:type="pct"/>
            <w:shd w:val="clear" w:color="auto" w:fill="FFFFFF"/>
            <w:tcMar>
              <w:top w:w="15" w:type="dxa"/>
              <w:left w:w="15" w:type="dxa"/>
              <w:right w:w="15" w:type="dxa"/>
            </w:tcMar>
            <w:vAlign w:val="center"/>
          </w:tcPr>
          <w:p>
            <w:pPr>
              <w:widowControl/>
              <w:spacing w:line="300" w:lineRule="exact"/>
              <w:jc w:val="left"/>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个人卫生支出占卫生总费用的比重</w:t>
            </w:r>
          </w:p>
        </w:tc>
        <w:tc>
          <w:tcPr>
            <w:tcW w:w="533"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w:t>
            </w:r>
          </w:p>
        </w:tc>
        <w:tc>
          <w:tcPr>
            <w:tcW w:w="537" w:type="pct"/>
            <w:shd w:val="clear" w:color="auto" w:fill="FFFFFF"/>
            <w:tcMar>
              <w:top w:w="15" w:type="dxa"/>
              <w:left w:w="15" w:type="dxa"/>
              <w:right w:w="15" w:type="dxa"/>
            </w:tcMar>
            <w:vAlign w:val="center"/>
          </w:tcPr>
          <w:p>
            <w:pPr>
              <w:widowControl/>
              <w:spacing w:line="300" w:lineRule="exact"/>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rPr>
              <w:t>2</w:t>
            </w:r>
            <w:r>
              <w:rPr>
                <w:rFonts w:hint="eastAsia" w:ascii="仿宋" w:hAnsi="仿宋" w:eastAsia="仿宋" w:cs="仿宋"/>
                <w:bCs/>
                <w:color w:val="auto"/>
                <w:kern w:val="0"/>
                <w:sz w:val="28"/>
                <w:szCs w:val="28"/>
                <w:lang w:val="en-US" w:eastAsia="zh-CN"/>
              </w:rPr>
              <w:t>8</w:t>
            </w:r>
          </w:p>
          <w:p>
            <w:pPr>
              <w:widowControl/>
              <w:spacing w:line="300" w:lineRule="exact"/>
              <w:jc w:val="center"/>
              <w:rPr>
                <w:rFonts w:hint="eastAsia" w:ascii="仿宋" w:hAnsi="仿宋" w:eastAsia="仿宋" w:cs="仿宋"/>
                <w:bCs/>
                <w:color w:val="auto"/>
                <w:kern w:val="0"/>
                <w:sz w:val="28"/>
                <w:szCs w:val="28"/>
                <w:lang w:eastAsia="zh-CN"/>
              </w:rPr>
            </w:pPr>
            <w:r>
              <w:rPr>
                <w:rFonts w:hint="eastAsia" w:ascii="仿宋" w:hAnsi="仿宋" w:eastAsia="仿宋" w:cs="仿宋"/>
                <w:bCs/>
                <w:color w:val="auto"/>
                <w:kern w:val="0"/>
                <w:sz w:val="28"/>
                <w:szCs w:val="28"/>
                <w:lang w:val="en-US" w:eastAsia="zh-CN"/>
              </w:rPr>
              <w:t>左右</w:t>
            </w:r>
          </w:p>
        </w:tc>
        <w:tc>
          <w:tcPr>
            <w:tcW w:w="569"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rPr>
              <w:t>2</w:t>
            </w:r>
            <w:r>
              <w:rPr>
                <w:rFonts w:hint="eastAsia" w:ascii="仿宋" w:hAnsi="仿宋" w:eastAsia="仿宋" w:cs="仿宋"/>
                <w:bCs/>
                <w:color w:val="auto"/>
                <w:kern w:val="0"/>
                <w:sz w:val="28"/>
                <w:szCs w:val="28"/>
                <w:lang w:val="en-US" w:eastAsia="zh-CN"/>
              </w:rPr>
              <w:t>7</w:t>
            </w:r>
          </w:p>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左右</w:t>
            </w:r>
          </w:p>
        </w:tc>
        <w:tc>
          <w:tcPr>
            <w:tcW w:w="648"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约束性</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23" w:hRule="atLeast"/>
          <w:jc w:val="center"/>
        </w:trPr>
        <w:tc>
          <w:tcPr>
            <w:tcW w:w="465" w:type="pct"/>
            <w:shd w:val="clear" w:color="auto" w:fill="FFFFFF"/>
            <w:tcMar>
              <w:top w:w="15" w:type="dxa"/>
              <w:left w:w="15" w:type="dxa"/>
              <w:right w:w="15" w:type="dxa"/>
            </w:tcMar>
            <w:vAlign w:val="center"/>
          </w:tcPr>
          <w:p>
            <w:pPr>
              <w:spacing w:line="30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健康产业</w:t>
            </w:r>
          </w:p>
        </w:tc>
        <w:tc>
          <w:tcPr>
            <w:tcW w:w="329" w:type="pct"/>
            <w:shd w:val="clear" w:color="auto" w:fill="FFFFFF"/>
            <w:vAlign w:val="center"/>
          </w:tcPr>
          <w:p>
            <w:pPr>
              <w:widowControl/>
              <w:spacing w:line="300" w:lineRule="exact"/>
              <w:jc w:val="center"/>
              <w:rPr>
                <w:rFonts w:hint="default"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22</w:t>
            </w:r>
          </w:p>
        </w:tc>
        <w:tc>
          <w:tcPr>
            <w:tcW w:w="1914" w:type="pct"/>
            <w:shd w:val="clear" w:color="auto" w:fill="FFFFFF"/>
            <w:tcMar>
              <w:top w:w="15" w:type="dxa"/>
              <w:left w:w="15" w:type="dxa"/>
              <w:right w:w="15" w:type="dxa"/>
            </w:tcMar>
            <w:vAlign w:val="center"/>
          </w:tcPr>
          <w:p>
            <w:pPr>
              <w:widowControl/>
              <w:spacing w:line="300" w:lineRule="exact"/>
              <w:jc w:val="left"/>
              <w:rPr>
                <w:rFonts w:hint="default"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医养健康产业集群营业收入</w:t>
            </w:r>
          </w:p>
        </w:tc>
        <w:tc>
          <w:tcPr>
            <w:tcW w:w="533" w:type="pct"/>
            <w:shd w:val="clear" w:color="auto" w:fill="FFFFFF"/>
            <w:tcMar>
              <w:top w:w="15" w:type="dxa"/>
              <w:left w:w="15" w:type="dxa"/>
              <w:right w:w="15" w:type="dxa"/>
            </w:tcMar>
            <w:vAlign w:val="center"/>
          </w:tcPr>
          <w:p>
            <w:pPr>
              <w:widowControl/>
              <w:spacing w:line="300" w:lineRule="exact"/>
              <w:jc w:val="center"/>
              <w:rPr>
                <w:rFonts w:hint="default"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亿元</w:t>
            </w:r>
          </w:p>
        </w:tc>
        <w:tc>
          <w:tcPr>
            <w:tcW w:w="537" w:type="pct"/>
            <w:shd w:val="clear" w:color="auto" w:fill="FFFFFF"/>
            <w:tcMar>
              <w:top w:w="15" w:type="dxa"/>
              <w:left w:w="15" w:type="dxa"/>
              <w:right w:w="15" w:type="dxa"/>
            </w:tcMar>
            <w:vAlign w:val="center"/>
          </w:tcPr>
          <w:p>
            <w:pPr>
              <w:widowControl/>
              <w:spacing w:line="300" w:lineRule="exact"/>
              <w:jc w:val="center"/>
              <w:rPr>
                <w:rFonts w:hint="default"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1230</w:t>
            </w:r>
          </w:p>
        </w:tc>
        <w:tc>
          <w:tcPr>
            <w:tcW w:w="569" w:type="pct"/>
            <w:shd w:val="clear" w:color="auto" w:fill="FFFFFF"/>
            <w:vAlign w:val="center"/>
          </w:tcPr>
          <w:p>
            <w:pPr>
              <w:widowControl/>
              <w:spacing w:line="300" w:lineRule="exact"/>
              <w:jc w:val="center"/>
              <w:rPr>
                <w:rFonts w:hint="default"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2000</w:t>
            </w:r>
          </w:p>
        </w:tc>
        <w:tc>
          <w:tcPr>
            <w:tcW w:w="648" w:type="pct"/>
            <w:shd w:val="clear" w:color="auto" w:fill="FFFFFF"/>
            <w:vAlign w:val="center"/>
          </w:tcPr>
          <w:p>
            <w:pPr>
              <w:widowControl/>
              <w:spacing w:line="300" w:lineRule="exact"/>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预期性</w:t>
            </w:r>
          </w:p>
        </w:tc>
      </w:tr>
    </w:tbl>
    <w:p>
      <w:pPr>
        <w:widowControl/>
        <w:spacing w:line="360" w:lineRule="auto"/>
        <w:rPr>
          <w:rFonts w:hint="eastAsia" w:ascii="仿宋" w:hAnsi="仿宋" w:eastAsia="仿宋" w:cs="仿宋"/>
          <w:sz w:val="32"/>
          <w:szCs w:val="32"/>
          <w:highlight w:val="lightGray"/>
          <w:shd w:val="clear" w:color="auto" w:fill="FFFFFF"/>
        </w:rPr>
      </w:pPr>
    </w:p>
    <w:p>
      <w:pPr>
        <w:pStyle w:val="2"/>
        <w:bidi w:val="0"/>
        <w:ind w:firstLine="640" w:firstLineChars="200"/>
        <w:rPr>
          <w:rFonts w:hint="eastAsia" w:ascii="黑体" w:hAnsi="黑体" w:eastAsia="黑体" w:cs="黑体"/>
          <w:b w:val="0"/>
          <w:bCs w:val="0"/>
          <w:sz w:val="32"/>
          <w:szCs w:val="32"/>
        </w:rPr>
      </w:pPr>
      <w:bookmarkStart w:id="6" w:name="_Toc22896"/>
      <w:r>
        <w:rPr>
          <w:rFonts w:hint="eastAsia" w:ascii="黑体" w:hAnsi="黑体" w:eastAsia="黑体" w:cs="黑体"/>
          <w:b w:val="0"/>
          <w:bCs w:val="0"/>
          <w:sz w:val="32"/>
          <w:szCs w:val="32"/>
        </w:rPr>
        <w:t>三、主要任务</w:t>
      </w:r>
      <w:bookmarkEnd w:id="6"/>
    </w:p>
    <w:p>
      <w:pPr>
        <w:pStyle w:val="3"/>
        <w:bidi w:val="0"/>
        <w:ind w:firstLine="640" w:firstLineChars="200"/>
        <w:rPr>
          <w:rFonts w:hint="eastAsia" w:ascii="楷体" w:hAnsi="楷体" w:eastAsia="楷体" w:cs="楷体"/>
          <w:b w:val="0"/>
          <w:bCs w:val="0"/>
          <w:sz w:val="32"/>
          <w:szCs w:val="32"/>
          <w:lang w:eastAsia="zh-CN"/>
        </w:rPr>
      </w:pPr>
      <w:bookmarkStart w:id="7" w:name="_Toc29017"/>
      <w:r>
        <w:rPr>
          <w:rFonts w:hint="eastAsia" w:ascii="楷体" w:hAnsi="楷体" w:eastAsia="楷体" w:cs="楷体"/>
          <w:b w:val="0"/>
          <w:bCs w:val="0"/>
          <w:sz w:val="32"/>
          <w:szCs w:val="32"/>
          <w:lang w:eastAsia="zh-CN"/>
        </w:rPr>
        <w:t>（一）</w:t>
      </w:r>
      <w:r>
        <w:rPr>
          <w:rFonts w:hint="eastAsia" w:ascii="楷体" w:hAnsi="楷体" w:eastAsia="楷体" w:cs="楷体"/>
          <w:b w:val="0"/>
          <w:bCs w:val="0"/>
          <w:sz w:val="32"/>
          <w:szCs w:val="32"/>
        </w:rPr>
        <w:t>构建</w:t>
      </w:r>
      <w:r>
        <w:rPr>
          <w:rFonts w:hint="eastAsia" w:ascii="楷体" w:hAnsi="楷体" w:eastAsia="楷体" w:cs="楷体"/>
          <w:b w:val="0"/>
          <w:bCs w:val="0"/>
          <w:sz w:val="32"/>
          <w:szCs w:val="32"/>
          <w:lang w:eastAsia="zh-CN"/>
        </w:rPr>
        <w:t>强大的</w:t>
      </w:r>
      <w:r>
        <w:rPr>
          <w:rFonts w:hint="eastAsia" w:ascii="楷体" w:hAnsi="楷体" w:eastAsia="楷体" w:cs="楷体"/>
          <w:b w:val="0"/>
          <w:bCs w:val="0"/>
          <w:sz w:val="32"/>
          <w:szCs w:val="32"/>
        </w:rPr>
        <w:t>公共卫生体系，</w:t>
      </w:r>
      <w:r>
        <w:rPr>
          <w:rFonts w:hint="eastAsia" w:ascii="楷体" w:hAnsi="楷体" w:eastAsia="楷体" w:cs="楷体"/>
          <w:b w:val="0"/>
          <w:bCs w:val="0"/>
          <w:sz w:val="32"/>
          <w:szCs w:val="32"/>
          <w:lang w:eastAsia="zh-CN"/>
        </w:rPr>
        <w:t>提高疾病风险防治能力</w:t>
      </w:r>
      <w:bookmarkEnd w:id="7"/>
    </w:p>
    <w:p>
      <w:pPr>
        <w:widowControl/>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1.加强公共卫生服务体系及机制建设。在政策指导下完善组织结构调整，建立健全与我市经济社会发展水平相适应的</w:t>
      </w:r>
      <w:r>
        <w:rPr>
          <w:rFonts w:hint="eastAsia" w:ascii="仿宋" w:hAnsi="仿宋" w:eastAsia="仿宋" w:cs="仿宋"/>
          <w:color w:val="auto"/>
          <w:sz w:val="32"/>
          <w:szCs w:val="32"/>
          <w:highlight w:val="none"/>
        </w:rPr>
        <w:t>新时代公共卫生服务体系。改革完善公共卫生法治保障体系，</w:t>
      </w:r>
      <w:r>
        <w:rPr>
          <w:rFonts w:hint="eastAsia" w:ascii="仿宋" w:hAnsi="仿宋" w:eastAsia="仿宋" w:cs="仿宋"/>
          <w:color w:val="auto"/>
          <w:sz w:val="32"/>
          <w:szCs w:val="32"/>
          <w:highlight w:val="none"/>
          <w:lang w:eastAsia="zh-CN"/>
        </w:rPr>
        <w:t>修改</w:t>
      </w:r>
      <w:r>
        <w:rPr>
          <w:rFonts w:hint="eastAsia" w:ascii="仿宋" w:hAnsi="仿宋" w:eastAsia="仿宋" w:cs="仿宋"/>
          <w:color w:val="auto"/>
          <w:sz w:val="32"/>
          <w:szCs w:val="32"/>
          <w:highlight w:val="none"/>
        </w:rPr>
        <w:t>制定《烟台市无偿献血管理办法》等</w:t>
      </w:r>
      <w:r>
        <w:rPr>
          <w:rFonts w:hint="eastAsia" w:ascii="仿宋" w:hAnsi="仿宋" w:eastAsia="仿宋"/>
          <w:color w:val="auto"/>
          <w:sz w:val="32"/>
          <w:szCs w:val="32"/>
          <w:lang w:val="en-US" w:eastAsia="zh-CN"/>
        </w:rPr>
        <w:t>医疗卫生相关规章、规范性文件。</w:t>
      </w:r>
      <w:r>
        <w:rPr>
          <w:rFonts w:hint="eastAsia" w:ascii="仿宋" w:hAnsi="仿宋" w:eastAsia="仿宋" w:cs="仿宋"/>
          <w:color w:val="auto"/>
          <w:sz w:val="32"/>
          <w:szCs w:val="32"/>
          <w:highlight w:val="none"/>
        </w:rPr>
        <w:t>改革完善公共卫生事件决策指挥体系，建立健全公共卫</w:t>
      </w:r>
      <w:r>
        <w:rPr>
          <w:rFonts w:hint="eastAsia" w:ascii="仿宋" w:hAnsi="仿宋" w:eastAsia="仿宋" w:cs="仿宋"/>
          <w:sz w:val="32"/>
          <w:szCs w:val="32"/>
          <w:highlight w:val="none"/>
        </w:rPr>
        <w:t>生事业协调统一、上下联动机制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改革完善公共卫生监测预警体系，建立智慧化预警多点触发机制，健全多渠道监测预警机制，提高实时分析、集中研判和早期监测预警能力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改革完善公共卫生联防联控群防群治工作机制，修订完善《烟台市重大传染病疫情应急处</w:t>
      </w:r>
      <w:r>
        <w:rPr>
          <w:rFonts w:hint="eastAsia" w:ascii="仿宋" w:hAnsi="仿宋" w:eastAsia="仿宋" w:cs="仿宋"/>
          <w:color w:val="auto"/>
          <w:sz w:val="32"/>
          <w:szCs w:val="32"/>
          <w:highlight w:val="none"/>
        </w:rPr>
        <w:t>置预案》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《烟</w:t>
      </w:r>
      <w:r>
        <w:rPr>
          <w:rFonts w:hint="eastAsia" w:ascii="仿宋" w:hAnsi="仿宋" w:eastAsia="仿宋" w:cs="仿宋"/>
          <w:sz w:val="32"/>
          <w:szCs w:val="32"/>
          <w:highlight w:val="none"/>
        </w:rPr>
        <w:t>台市突发公共事件医疗卫生应急救援预案》，明确不同阶段的应急响应措施，提升应急应对能力。落实疾病预防控制机构编制标准，合理控制以区市为单位空编率，扩充公共卫生人才队伍，保障急需紧缺专业技术人员需求。到2025年，全面建成专业化、现代化的三级疾病</w:t>
      </w:r>
      <w:r>
        <w:rPr>
          <w:rFonts w:hint="eastAsia" w:ascii="仿宋" w:hAnsi="仿宋" w:eastAsia="仿宋" w:cs="仿宋"/>
          <w:color w:val="auto"/>
          <w:sz w:val="32"/>
          <w:szCs w:val="32"/>
          <w:highlight w:val="none"/>
        </w:rPr>
        <w:t>预防控制网络，以区市为单位空编率降至5%以下，每千人口公共卫生人员数达到0.7人。（牵头</w:t>
      </w:r>
      <w:r>
        <w:rPr>
          <w:rFonts w:hint="eastAsia" w:ascii="仿宋" w:hAnsi="仿宋" w:eastAsia="仿宋" w:cs="仿宋"/>
          <w:color w:val="auto"/>
          <w:sz w:val="32"/>
          <w:szCs w:val="32"/>
          <w:highlight w:val="none"/>
          <w:lang w:val="en-US" w:eastAsia="zh-CN"/>
        </w:rPr>
        <w:t>部门</w:t>
      </w:r>
      <w:r>
        <w:rPr>
          <w:rFonts w:hint="eastAsia" w:ascii="仿宋" w:hAnsi="仿宋" w:eastAsia="仿宋" w:cs="仿宋"/>
          <w:color w:val="auto"/>
          <w:sz w:val="32"/>
          <w:szCs w:val="32"/>
          <w:highlight w:val="none"/>
        </w:rPr>
        <w:t>：市卫生健康委</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参与部门：</w:t>
      </w:r>
      <w:r>
        <w:rPr>
          <w:rFonts w:hint="eastAsia" w:ascii="仿宋" w:hAnsi="仿宋" w:eastAsia="仿宋" w:cs="仿宋"/>
          <w:color w:val="auto"/>
          <w:sz w:val="32"/>
          <w:szCs w:val="32"/>
          <w:highlight w:val="none"/>
        </w:rPr>
        <w:t>市委编</w:t>
      </w:r>
      <w:r>
        <w:rPr>
          <w:rFonts w:hint="eastAsia" w:ascii="仿宋" w:hAnsi="仿宋" w:eastAsia="仿宋" w:cs="仿宋"/>
          <w:sz w:val="32"/>
          <w:szCs w:val="32"/>
          <w:highlight w:val="none"/>
        </w:rPr>
        <w:t>办、市人力资源社会保障局、市应急局、市司法局、市红十字会）</w:t>
      </w:r>
    </w:p>
    <w:p>
      <w:pPr>
        <w:keepNext w:val="0"/>
        <w:keepLines w:val="0"/>
        <w:widowControl/>
        <w:suppressLineNumbers w:val="0"/>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2.创新公共卫生服务供给方式。建立公共卫生机构、综合性医院和专科医院、基层医疗卫生机构之间的公共卫生服务供给协同机制</w:t>
      </w:r>
      <w:r>
        <w:rPr>
          <w:rFonts w:hint="eastAsia" w:ascii="仿宋" w:hAnsi="仿宋" w:eastAsia="仿宋" w:cs="仿宋"/>
          <w:color w:val="auto"/>
          <w:sz w:val="32"/>
          <w:szCs w:val="32"/>
          <w:highlight w:val="none"/>
          <w:lang w:eastAsia="zh-CN"/>
        </w:rPr>
        <w:t>、</w:t>
      </w:r>
      <w:r>
        <w:rPr>
          <w:rFonts w:hint="eastAsia" w:ascii="仿宋" w:hAnsi="仿宋" w:eastAsia="仿宋" w:cs="仿宋"/>
          <w:sz w:val="32"/>
          <w:szCs w:val="32"/>
          <w:highlight w:val="none"/>
        </w:rPr>
        <w:t>信息共享、互联互通，推进疾病防、治、管的整体融合发展。加强公共卫生执业医师在公共卫生服务供给中的策划、引领、协同和反馈职能。完善政府购买公共卫生服务机制，鼓励社会力量参与公共卫生服务供给体系建设。</w:t>
      </w:r>
      <w:r>
        <w:rPr>
          <w:rFonts w:ascii="仿宋_GB2312" w:hAnsi="宋体" w:eastAsia="仿宋_GB2312" w:cs="仿宋_GB2312"/>
          <w:color w:val="000000"/>
          <w:kern w:val="0"/>
          <w:sz w:val="31"/>
          <w:szCs w:val="31"/>
          <w:highlight w:val="none"/>
          <w:lang w:val="en-US" w:eastAsia="zh-CN" w:bidi="ar"/>
        </w:rPr>
        <w:t>加强采供血服务体系</w:t>
      </w:r>
      <w:r>
        <w:rPr>
          <w:rFonts w:hint="eastAsia" w:ascii="仿宋_GB2312" w:hAnsi="宋体" w:eastAsia="仿宋_GB2312" w:cs="仿宋_GB2312"/>
          <w:color w:val="000000"/>
          <w:kern w:val="0"/>
          <w:sz w:val="31"/>
          <w:szCs w:val="31"/>
          <w:highlight w:val="none"/>
          <w:lang w:val="en-US" w:eastAsia="zh-CN" w:bidi="ar"/>
        </w:rPr>
        <w:t>建设，</w:t>
      </w:r>
      <w:r>
        <w:rPr>
          <w:rFonts w:hint="eastAsia" w:ascii="仿宋" w:hAnsi="仿宋" w:eastAsia="仿宋" w:cs="仿宋"/>
          <w:sz w:val="32"/>
          <w:szCs w:val="32"/>
          <w:highlight w:val="none"/>
        </w:rPr>
        <w:t>将献血屋建设纳入城市规划，</w:t>
      </w:r>
      <w:r>
        <w:rPr>
          <w:rFonts w:hint="eastAsia" w:ascii="仿宋_GB2312" w:hAnsi="宋体" w:eastAsia="仿宋_GB2312" w:cs="仿宋_GB2312"/>
          <w:color w:val="000000"/>
          <w:kern w:val="0"/>
          <w:sz w:val="31"/>
          <w:szCs w:val="31"/>
          <w:highlight w:val="none"/>
          <w:lang w:val="en-US" w:eastAsia="zh-CN" w:bidi="ar"/>
        </w:rPr>
        <w:t>优化布局采血点，保障临床用血供应和质量安全</w:t>
      </w:r>
      <w:r>
        <w:rPr>
          <w:rFonts w:hint="eastAsia" w:ascii="仿宋" w:hAnsi="仿宋" w:eastAsia="仿宋" w:cs="仿宋"/>
          <w:sz w:val="32"/>
          <w:szCs w:val="32"/>
          <w:highlight w:val="none"/>
        </w:rPr>
        <w:t>。</w:t>
      </w:r>
      <w:r>
        <w:rPr>
          <w:rFonts w:hint="eastAsia" w:ascii="仿宋" w:hAnsi="仿宋" w:eastAsia="仿宋" w:cs="仿宋"/>
          <w:bCs/>
          <w:sz w:val="32"/>
          <w:szCs w:val="32"/>
          <w:highlight w:val="none"/>
        </w:rPr>
        <w:t>优化基层医疗卫生机构传染性疾病监测哨点布局，所有建制乡镇卫生院、社区卫生服务中心建成基层哨</w:t>
      </w:r>
      <w:r>
        <w:rPr>
          <w:rFonts w:hint="eastAsia" w:ascii="仿宋" w:hAnsi="仿宋" w:eastAsia="仿宋" w:cs="仿宋"/>
          <w:bCs/>
          <w:color w:val="auto"/>
          <w:sz w:val="32"/>
          <w:szCs w:val="32"/>
          <w:highlight w:val="none"/>
        </w:rPr>
        <w:t>点，支持乡镇卫生院、社区卫生服务中心配备CT和建设具备隔离条件的发热诊室。</w:t>
      </w:r>
      <w:r>
        <w:rPr>
          <w:rFonts w:hint="eastAsia" w:ascii="仿宋" w:hAnsi="仿宋" w:eastAsia="仿宋" w:cs="仿宋"/>
          <w:color w:val="auto"/>
          <w:sz w:val="32"/>
          <w:szCs w:val="32"/>
          <w:highlight w:val="none"/>
        </w:rPr>
        <w:t>（牵头</w:t>
      </w:r>
      <w:r>
        <w:rPr>
          <w:rFonts w:hint="eastAsia" w:ascii="仿宋" w:hAnsi="仿宋" w:eastAsia="仿宋" w:cs="仿宋"/>
          <w:color w:val="auto"/>
          <w:sz w:val="32"/>
          <w:szCs w:val="32"/>
          <w:highlight w:val="none"/>
          <w:lang w:val="en-US" w:eastAsia="zh-CN"/>
        </w:rPr>
        <w:t>部门</w:t>
      </w:r>
      <w:r>
        <w:rPr>
          <w:rFonts w:hint="eastAsia" w:ascii="仿宋" w:hAnsi="仿宋" w:eastAsia="仿宋" w:cs="仿宋"/>
          <w:color w:val="auto"/>
          <w:sz w:val="32"/>
          <w:szCs w:val="32"/>
          <w:highlight w:val="none"/>
        </w:rPr>
        <w:t>：市卫生健康委</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参与部门：</w:t>
      </w:r>
      <w:r>
        <w:rPr>
          <w:rFonts w:hint="eastAsia" w:ascii="仿宋" w:hAnsi="仿宋" w:eastAsia="仿宋" w:cs="仿宋"/>
          <w:color w:val="auto"/>
          <w:sz w:val="32"/>
          <w:szCs w:val="32"/>
          <w:highlight w:val="none"/>
        </w:rPr>
        <w:t>市财政</w:t>
      </w:r>
      <w:r>
        <w:rPr>
          <w:rFonts w:hint="eastAsia" w:ascii="仿宋" w:hAnsi="仿宋" w:eastAsia="仿宋" w:cs="仿宋"/>
          <w:sz w:val="32"/>
          <w:szCs w:val="32"/>
          <w:highlight w:val="none"/>
        </w:rPr>
        <w:t>局、市医保局、各区市政府、管委）</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3.完善</w:t>
      </w:r>
      <w:r>
        <w:rPr>
          <w:rFonts w:hint="eastAsia" w:ascii="仿宋" w:hAnsi="仿宋" w:eastAsia="仿宋" w:cs="仿宋"/>
          <w:color w:val="auto"/>
          <w:sz w:val="32"/>
          <w:szCs w:val="32"/>
          <w:highlight w:val="none"/>
        </w:rPr>
        <w:t>医防融合工作机制。建立“医防融合”的疾病综合防治体系，提升</w:t>
      </w:r>
      <w:r>
        <w:rPr>
          <w:rFonts w:hint="eastAsia" w:ascii="仿宋" w:hAnsi="仿宋" w:eastAsia="仿宋" w:cs="仿宋"/>
          <w:color w:val="auto"/>
          <w:sz w:val="32"/>
          <w:szCs w:val="32"/>
          <w:highlight w:val="none"/>
          <w:lang w:val="en-US" w:eastAsia="zh-CN"/>
        </w:rPr>
        <w:t>市</w:t>
      </w:r>
      <w:r>
        <w:rPr>
          <w:rFonts w:hint="eastAsia" w:ascii="仿宋" w:hAnsi="仿宋" w:eastAsia="仿宋" w:cs="仿宋"/>
          <w:color w:val="auto"/>
          <w:sz w:val="32"/>
          <w:szCs w:val="32"/>
          <w:highlight w:val="none"/>
        </w:rPr>
        <w:t>奇山医院</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传染病医院</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标准，确定</w:t>
      </w:r>
      <w:r>
        <w:rPr>
          <w:rFonts w:hint="eastAsia" w:ascii="仿宋" w:hAnsi="仿宋" w:eastAsia="仿宋" w:cs="仿宋"/>
          <w:color w:val="auto"/>
          <w:sz w:val="32"/>
          <w:szCs w:val="32"/>
          <w:highlight w:val="none"/>
          <w:lang w:eastAsia="zh-CN"/>
        </w:rPr>
        <w:t>市</w:t>
      </w:r>
      <w:r>
        <w:rPr>
          <w:rFonts w:hint="eastAsia" w:ascii="仿宋" w:hAnsi="仿宋" w:eastAsia="仿宋" w:cs="仿宋"/>
          <w:color w:val="auto"/>
          <w:sz w:val="32"/>
          <w:szCs w:val="32"/>
          <w:highlight w:val="none"/>
        </w:rPr>
        <w:t>莱阳中心医院、</w:t>
      </w:r>
      <w:r>
        <w:rPr>
          <w:rFonts w:hint="eastAsia" w:ascii="仿宋" w:hAnsi="仿宋" w:eastAsia="仿宋" w:cs="仿宋"/>
          <w:color w:val="auto"/>
          <w:sz w:val="32"/>
          <w:szCs w:val="32"/>
          <w:highlight w:val="none"/>
          <w:lang w:eastAsia="zh-CN"/>
        </w:rPr>
        <w:t>市</w:t>
      </w:r>
      <w:r>
        <w:rPr>
          <w:rFonts w:hint="eastAsia" w:ascii="仿宋" w:hAnsi="仿宋" w:eastAsia="仿宋" w:cs="仿宋"/>
          <w:color w:val="auto"/>
          <w:sz w:val="32"/>
          <w:szCs w:val="32"/>
          <w:highlight w:val="none"/>
        </w:rPr>
        <w:t>北海医院作为</w:t>
      </w:r>
      <w:r>
        <w:rPr>
          <w:rFonts w:hint="eastAsia" w:ascii="仿宋" w:hAnsi="仿宋" w:eastAsia="仿宋" w:cs="仿宋"/>
          <w:color w:val="auto"/>
          <w:sz w:val="32"/>
          <w:szCs w:val="32"/>
          <w:highlight w:val="none"/>
          <w:lang w:eastAsia="zh-CN"/>
        </w:rPr>
        <w:t>传染病</w:t>
      </w:r>
      <w:r>
        <w:rPr>
          <w:rFonts w:hint="eastAsia" w:ascii="仿宋" w:hAnsi="仿宋" w:eastAsia="仿宋" w:cs="仿宋"/>
          <w:color w:val="auto"/>
          <w:sz w:val="32"/>
          <w:szCs w:val="32"/>
          <w:highlight w:val="none"/>
        </w:rPr>
        <w:t>后备定点医院。提升综合医院</w:t>
      </w:r>
      <w:r>
        <w:rPr>
          <w:rFonts w:hint="eastAsia" w:ascii="仿宋" w:hAnsi="仿宋" w:eastAsia="仿宋" w:cs="仿宋"/>
          <w:bCs/>
          <w:color w:val="auto"/>
          <w:sz w:val="32"/>
          <w:szCs w:val="32"/>
          <w:highlight w:val="none"/>
        </w:rPr>
        <w:t>公共卫生防控救治能力建设，</w:t>
      </w:r>
      <w:r>
        <w:rPr>
          <w:rFonts w:hint="eastAsia" w:ascii="仿宋" w:hAnsi="仿宋" w:eastAsia="仿宋" w:cs="仿宋"/>
          <w:color w:val="auto"/>
          <w:sz w:val="32"/>
          <w:szCs w:val="32"/>
          <w:highlight w:val="none"/>
        </w:rPr>
        <w:t>在二级及以上综合医院和符合条件的基层医疗卫生机构设立发热和肠道门诊，加强设施设备配备，开发运用与疾病监测、症状监测相衔接的智能化预检分诊系统。实施医院、社区卫生服务中心（乡镇</w:t>
      </w:r>
      <w:r>
        <w:rPr>
          <w:rFonts w:hint="eastAsia" w:ascii="仿宋" w:hAnsi="仿宋" w:eastAsia="仿宋" w:cs="仿宋"/>
          <w:sz w:val="32"/>
          <w:szCs w:val="32"/>
          <w:highlight w:val="none"/>
        </w:rPr>
        <w:t>卫生院）、疾控中心“三位一体”的疾病管理全程化模式，促进整个医疗卫生体系形成系统合力。明确专业公共卫生机构和医疗机构的职责分工，建立信息共享与互联互通等协作机制。建立公共卫生机构和医疗机构协同监测机制，发挥基层哨点作用，做到早发现、早报告、早处置。</w:t>
      </w:r>
      <w:r>
        <w:rPr>
          <w:rFonts w:hint="eastAsia" w:ascii="仿宋" w:hAnsi="仿宋" w:eastAsia="仿宋" w:cs="仿宋"/>
          <w:bCs/>
          <w:sz w:val="32"/>
          <w:szCs w:val="32"/>
          <w:highlight w:val="none"/>
        </w:rPr>
        <w:t>进一步强化医疗机构公共卫生职责，将履行公共卫生职责作为公立医院改革的重要推进内容，</w:t>
      </w:r>
      <w:r>
        <w:rPr>
          <w:rFonts w:hint="eastAsia" w:ascii="仿宋" w:hAnsi="仿宋" w:eastAsia="仿宋" w:cs="仿宋"/>
          <w:sz w:val="32"/>
          <w:szCs w:val="32"/>
          <w:highlight w:val="none"/>
        </w:rPr>
        <w:t>二级以上公立医院100%设置公共卫生科，其他综合性医院及相关专科医院要依托相关科室与专业公共卫生机构密切合作，承担辖区内一定的公共卫生任务和对基层医疗卫生机构的业务指导。</w:t>
      </w:r>
      <w:r>
        <w:rPr>
          <w:rFonts w:hint="eastAsia" w:ascii="仿宋" w:hAnsi="仿宋" w:eastAsia="仿宋" w:cs="仿宋"/>
          <w:bCs/>
          <w:sz w:val="32"/>
          <w:szCs w:val="32"/>
          <w:highlight w:val="none"/>
        </w:rPr>
        <w:t>将医生承担的公共卫生职责、履行方式、相关公共卫生知识培训纳入临床医生的入职教育和继续教育体系。</w:t>
      </w:r>
      <w:r>
        <w:rPr>
          <w:rFonts w:hint="eastAsia" w:ascii="仿宋" w:hAnsi="仿宋" w:eastAsia="仿宋" w:cs="仿宋"/>
          <w:sz w:val="32"/>
          <w:szCs w:val="32"/>
          <w:highlight w:val="none"/>
        </w:rPr>
        <w:t>建立医疗机构承担公共卫生任务的补偿机制和服</w:t>
      </w:r>
      <w:r>
        <w:rPr>
          <w:rFonts w:hint="eastAsia" w:ascii="仿宋" w:hAnsi="仿宋" w:eastAsia="仿宋" w:cs="仿宋"/>
          <w:color w:val="auto"/>
          <w:sz w:val="32"/>
          <w:szCs w:val="32"/>
          <w:highlight w:val="none"/>
        </w:rPr>
        <w:t>务购买机制</w:t>
      </w:r>
      <w:r>
        <w:rPr>
          <w:rFonts w:hint="eastAsia" w:ascii="仿宋" w:hAnsi="仿宋" w:eastAsia="仿宋" w:cs="仿宋"/>
          <w:bCs/>
          <w:color w:val="auto"/>
          <w:sz w:val="32"/>
          <w:szCs w:val="32"/>
          <w:highlight w:val="none"/>
        </w:rPr>
        <w:t>，把公共卫生服务补偿纳入政府财政支出的年度预算</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十四五</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期间</w:t>
      </w:r>
      <w:r>
        <w:rPr>
          <w:rFonts w:hint="eastAsia" w:ascii="仿宋" w:hAnsi="仿宋" w:eastAsia="仿宋" w:cs="仿宋"/>
          <w:sz w:val="32"/>
          <w:szCs w:val="32"/>
          <w:highlight w:val="none"/>
        </w:rPr>
        <w:t>设立基层首席公共卫生医师，为每个乡镇卫生院</w:t>
      </w:r>
      <w:r>
        <w:rPr>
          <w:rFonts w:hint="eastAsia" w:ascii="仿宋" w:hAnsi="仿宋" w:eastAsia="仿宋" w:cs="仿宋"/>
          <w:bCs/>
          <w:sz w:val="32"/>
          <w:szCs w:val="32"/>
          <w:highlight w:val="none"/>
        </w:rPr>
        <w:t>、社区卫生服务中心</w:t>
      </w:r>
      <w:r>
        <w:rPr>
          <w:rFonts w:hint="eastAsia" w:ascii="仿宋" w:hAnsi="仿宋" w:eastAsia="仿宋" w:cs="仿宋"/>
          <w:sz w:val="32"/>
          <w:szCs w:val="32"/>
          <w:highlight w:val="none"/>
        </w:rPr>
        <w:t>配备1-2名专兼职公</w:t>
      </w:r>
      <w:r>
        <w:rPr>
          <w:rFonts w:hint="eastAsia" w:ascii="仿宋" w:hAnsi="仿宋" w:eastAsia="仿宋" w:cs="仿宋"/>
          <w:color w:val="auto"/>
          <w:sz w:val="32"/>
          <w:szCs w:val="32"/>
          <w:highlight w:val="none"/>
        </w:rPr>
        <w:t>共卫生医师。（牵头</w:t>
      </w:r>
      <w:r>
        <w:rPr>
          <w:rFonts w:hint="eastAsia" w:ascii="仿宋" w:hAnsi="仿宋" w:eastAsia="仿宋" w:cs="仿宋"/>
          <w:color w:val="auto"/>
          <w:sz w:val="32"/>
          <w:szCs w:val="32"/>
          <w:highlight w:val="none"/>
          <w:lang w:val="en-US" w:eastAsia="zh-CN"/>
        </w:rPr>
        <w:t>部门</w:t>
      </w:r>
      <w:r>
        <w:rPr>
          <w:rFonts w:hint="eastAsia" w:ascii="仿宋" w:hAnsi="仿宋" w:eastAsia="仿宋" w:cs="仿宋"/>
          <w:color w:val="auto"/>
          <w:sz w:val="32"/>
          <w:szCs w:val="32"/>
          <w:highlight w:val="none"/>
        </w:rPr>
        <w:t>：市卫生健康委</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参与部门：</w:t>
      </w:r>
      <w:r>
        <w:rPr>
          <w:rFonts w:hint="eastAsia" w:ascii="仿宋" w:hAnsi="仿宋" w:eastAsia="仿宋" w:cs="仿宋"/>
          <w:color w:val="auto"/>
          <w:sz w:val="32"/>
          <w:szCs w:val="32"/>
          <w:highlight w:val="none"/>
        </w:rPr>
        <w:t>市委编办</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市财政局、</w:t>
      </w:r>
      <w:r>
        <w:rPr>
          <w:rFonts w:hint="eastAsia" w:ascii="仿宋" w:hAnsi="仿宋" w:eastAsia="仿宋" w:cs="仿宋"/>
          <w:color w:val="auto"/>
          <w:sz w:val="32"/>
          <w:szCs w:val="32"/>
          <w:highlight w:val="none"/>
        </w:rPr>
        <w:t>市人力资源社会保障局、市医保局、各区市政府、管委）</w:t>
      </w:r>
    </w:p>
    <w:p>
      <w:pPr>
        <w:keepNext w:val="0"/>
        <w:keepLines w:val="0"/>
        <w:widowControl/>
        <w:suppressLineNumbers w:val="0"/>
        <w:ind w:firstLine="640" w:firstLineChars="200"/>
        <w:jc w:val="left"/>
        <w:rPr>
          <w:rFonts w:hint="eastAsia" w:ascii="仿宋" w:hAnsi="仿宋" w:eastAsia="仿宋" w:cs="仿宋"/>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建设公共卫生事件应急救援区域中心。健全科学研究、疾病控制、临床治疗有效协同机制，建立分级、分层、分流的救治机制，鼓励发展大数据、人工智能、云计算等数据科学技术用于支撑突发公共卫生事件的预警、监测、溯源、防控、救治以及资源调配。</w:t>
      </w:r>
      <w:r>
        <w:rPr>
          <w:rFonts w:hint="eastAsia" w:ascii="仿宋" w:hAnsi="仿宋" w:eastAsia="仿宋" w:cs="仿宋"/>
          <w:bCs/>
          <w:color w:val="auto"/>
          <w:sz w:val="32"/>
          <w:szCs w:val="32"/>
          <w:highlight w:val="none"/>
        </w:rPr>
        <w:t>依托市奇山医院以及二级及以上综合医院、中</w:t>
      </w:r>
      <w:r>
        <w:rPr>
          <w:rFonts w:hint="eastAsia" w:ascii="仿宋" w:hAnsi="仿宋" w:eastAsia="仿宋" w:cs="仿宋"/>
          <w:bCs/>
          <w:color w:val="auto"/>
          <w:sz w:val="32"/>
          <w:szCs w:val="32"/>
          <w:highlight w:val="none"/>
          <w:lang w:val="en-US" w:eastAsia="zh-CN"/>
        </w:rPr>
        <w:t>医</w:t>
      </w:r>
      <w:r>
        <w:rPr>
          <w:rFonts w:hint="eastAsia" w:ascii="仿宋" w:hAnsi="仿宋" w:eastAsia="仿宋" w:cs="仿宋"/>
          <w:bCs/>
          <w:color w:val="auto"/>
          <w:sz w:val="32"/>
          <w:szCs w:val="32"/>
          <w:highlight w:val="none"/>
        </w:rPr>
        <w:t>医院，补齐发热门诊、感染性疾病科、实验室能力建设短板，整体提升区域</w:t>
      </w:r>
      <w:r>
        <w:rPr>
          <w:rFonts w:hint="eastAsia" w:ascii="仿宋" w:hAnsi="仿宋" w:eastAsia="仿宋" w:cs="仿宋"/>
          <w:bCs/>
          <w:sz w:val="32"/>
          <w:szCs w:val="32"/>
          <w:highlight w:val="none"/>
        </w:rPr>
        <w:t>重症诊治、综合救治能力。加强重症、呼吸、麻醉、感染等公共卫生相关学科建设，提升综合救治和多学科联合诊治水平。充分发挥中医药在预防、治</w:t>
      </w:r>
      <w:r>
        <w:rPr>
          <w:rFonts w:hint="eastAsia" w:ascii="仿宋" w:hAnsi="仿宋" w:eastAsia="仿宋" w:cs="仿宋"/>
          <w:bCs/>
          <w:color w:val="auto"/>
          <w:sz w:val="32"/>
          <w:szCs w:val="32"/>
          <w:highlight w:val="none"/>
        </w:rPr>
        <w:t>疗、康复等方面的特色优势，建立健全公共卫生事件应急处置中西医协作机制。合理布局院前医疗急救网络，</w:t>
      </w:r>
      <w:r>
        <w:rPr>
          <w:rFonts w:hint="eastAsia" w:ascii="仿宋" w:hAnsi="仿宋" w:eastAsia="仿宋" w:cs="仿宋"/>
          <w:bCs/>
          <w:color w:val="auto"/>
          <w:sz w:val="32"/>
          <w:szCs w:val="32"/>
          <w:highlight w:val="none"/>
          <w:lang w:val="en-US" w:eastAsia="zh-CN"/>
        </w:rPr>
        <w:t>县域建立急救分中心或急救指挥中心，下设若干个急救点。城市地区服务半径不超过 5 公里，农村地区服务半径 10-20 公里。以县域为单位，在每 3 万人口配置 1 辆救护车的标准基础上，在不超过国家规定配置数量的前提下，合理增加救护车数量，其中至少 40%为负压救护车。平均急救呼叫满足率达到 95%</w:t>
      </w:r>
      <w:r>
        <w:rPr>
          <w:rFonts w:hint="eastAsia" w:ascii="仿宋" w:hAnsi="仿宋" w:eastAsia="仿宋" w:cs="仿宋"/>
          <w:bCs/>
          <w:color w:val="auto"/>
          <w:sz w:val="32"/>
          <w:szCs w:val="32"/>
          <w:highlight w:val="none"/>
        </w:rPr>
        <w:t>。</w:t>
      </w:r>
      <w:r>
        <w:rPr>
          <w:rFonts w:hint="eastAsia" w:ascii="仿宋" w:hAnsi="仿宋" w:eastAsia="仿宋" w:cs="仿宋"/>
          <w:color w:val="auto"/>
          <w:sz w:val="32"/>
          <w:szCs w:val="32"/>
          <w:highlight w:val="none"/>
        </w:rPr>
        <w:t>（牵头</w:t>
      </w:r>
      <w:r>
        <w:rPr>
          <w:rFonts w:hint="eastAsia" w:ascii="仿宋" w:hAnsi="仿宋" w:eastAsia="仿宋" w:cs="仿宋"/>
          <w:color w:val="auto"/>
          <w:sz w:val="32"/>
          <w:szCs w:val="32"/>
          <w:highlight w:val="none"/>
          <w:lang w:val="en-US" w:eastAsia="zh-CN"/>
        </w:rPr>
        <w:t>部门</w:t>
      </w:r>
      <w:r>
        <w:rPr>
          <w:rFonts w:hint="eastAsia" w:ascii="仿宋" w:hAnsi="仿宋" w:eastAsia="仿宋" w:cs="仿宋"/>
          <w:color w:val="auto"/>
          <w:sz w:val="32"/>
          <w:szCs w:val="32"/>
          <w:highlight w:val="none"/>
        </w:rPr>
        <w:t>：市卫生健康委</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参与部门：</w:t>
      </w:r>
      <w:r>
        <w:rPr>
          <w:rFonts w:hint="eastAsia" w:ascii="仿宋" w:hAnsi="仿宋" w:eastAsia="仿宋" w:cs="仿宋"/>
          <w:sz w:val="32"/>
          <w:szCs w:val="32"/>
          <w:highlight w:val="none"/>
        </w:rPr>
        <w:t>市发展改革委、市大数据局、各区市政府、管委）</w:t>
      </w:r>
    </w:p>
    <w:p>
      <w:pPr>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5.健全完善卫生应急管理和物资保障体系。</w:t>
      </w:r>
      <w:r>
        <w:rPr>
          <w:rFonts w:hint="eastAsia" w:ascii="仿宋_GB2312" w:hAnsi="仿宋_GB2312" w:eastAsia="仿宋_GB2312" w:cs="仿宋_GB2312"/>
          <w:color w:val="auto"/>
          <w:sz w:val="32"/>
          <w:szCs w:val="32"/>
          <w:lang w:eastAsia="zh-CN"/>
        </w:rPr>
        <w:t>修订完善《烟台市重大传染病疫情应急处置预案》、《烟台市突发公共事件医疗卫生应急救援预案》，明确不同阶段的应急响应措施，</w:t>
      </w:r>
      <w:r>
        <w:rPr>
          <w:rFonts w:hint="eastAsia" w:ascii="仿宋_GB2312" w:hAnsi="仿宋_GB2312" w:eastAsia="仿宋_GB2312" w:cs="仿宋_GB2312"/>
          <w:color w:val="auto"/>
          <w:sz w:val="32"/>
          <w:szCs w:val="32"/>
          <w:lang w:val="en-US" w:eastAsia="zh-CN"/>
        </w:rPr>
        <w:t>定期开展应急演练，强化协同联动；将中医药防治举措全面融入应急预案和技术方案，在适宜人群中推广中医治未病干预方案。将突发公共卫生事件卫生应急物资纳入市应急物资储备目录，按照日均消耗医用物资上限不少于1个月进行物资储备，加强重大疾病和传染病防治疫苗、药品、试剂和医用防护物资实物、生产能力和技术等储备。健全重大疫情医疗救治费用保障机制，实施医疗保障、政府补助、医疗机构减免等综合保障措施。</w:t>
      </w:r>
      <w:r>
        <w:rPr>
          <w:rFonts w:hint="eastAsia" w:ascii="楷体_GB2312" w:hAnsi="楷体_GB2312" w:eastAsia="楷体_GB2312" w:cs="楷体_GB2312"/>
          <w:color w:val="auto"/>
          <w:sz w:val="32"/>
          <w:szCs w:val="32"/>
          <w:lang w:val="en-US" w:eastAsia="zh-CN"/>
        </w:rPr>
        <w:t>（牵头部门：市卫生健康委、市发展改革委、市工业和信息化局、市应急局、市医保局；参与部门：市财政局）</w:t>
      </w:r>
    </w:p>
    <w:p>
      <w:pPr>
        <w:spacing w:line="360" w:lineRule="auto"/>
        <w:ind w:firstLine="640" w:firstLineChars="200"/>
        <w:rPr>
          <w:rFonts w:hint="eastAsia" w:ascii="仿宋" w:hAnsi="仿宋" w:eastAsia="仿宋" w:cs="仿宋"/>
          <w:b/>
          <w:bCs/>
          <w:color w:val="auto"/>
          <w:sz w:val="32"/>
          <w:szCs w:val="32"/>
          <w:highlight w:val="none"/>
          <w:lang w:eastAsia="zh-CN"/>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.改革完善公共卫生教育培训体系。联合地方高校和科研院所，</w:t>
      </w:r>
      <w:r>
        <w:rPr>
          <w:rFonts w:hint="eastAsia" w:ascii="仿宋" w:hAnsi="仿宋" w:eastAsia="仿宋" w:cs="仿宋"/>
          <w:color w:val="auto"/>
          <w:sz w:val="32"/>
          <w:szCs w:val="32"/>
          <w:highlight w:val="none"/>
        </w:rPr>
        <w:t>充分发挥专业人员作用，建设面向公众的急救培训体系，以</w:t>
      </w:r>
      <w:r>
        <w:rPr>
          <w:rFonts w:hint="eastAsia" w:ascii="仿宋" w:hAnsi="仿宋" w:eastAsia="仿宋" w:cs="仿宋"/>
          <w:color w:val="auto"/>
          <w:sz w:val="32"/>
          <w:szCs w:val="32"/>
          <w:highlight w:val="none"/>
          <w:lang w:val="en-US" w:eastAsia="zh-CN"/>
        </w:rPr>
        <w:t>120急救指挥中心</w:t>
      </w:r>
      <w:r>
        <w:rPr>
          <w:rFonts w:hint="eastAsia" w:ascii="仿宋" w:hAnsi="仿宋" w:eastAsia="仿宋" w:cs="仿宋"/>
          <w:color w:val="auto"/>
          <w:sz w:val="32"/>
          <w:szCs w:val="32"/>
          <w:highlight w:val="none"/>
        </w:rPr>
        <w:t>为依托打造区域急救培训基地，提高</w:t>
      </w:r>
      <w:r>
        <w:rPr>
          <w:rFonts w:hint="eastAsia" w:ascii="仿宋" w:hAnsi="仿宋" w:eastAsia="仿宋" w:cs="仿宋"/>
          <w:color w:val="auto"/>
          <w:sz w:val="32"/>
          <w:szCs w:val="32"/>
          <w:highlight w:val="none"/>
          <w:lang w:val="en-US" w:eastAsia="zh-CN"/>
        </w:rPr>
        <w:t>院前医疗急救专业人员和</w:t>
      </w:r>
      <w:r>
        <w:rPr>
          <w:rFonts w:hint="eastAsia" w:ascii="仿宋" w:hAnsi="仿宋" w:eastAsia="仿宋" w:cs="仿宋"/>
          <w:color w:val="auto"/>
          <w:sz w:val="32"/>
          <w:szCs w:val="32"/>
          <w:highlight w:val="none"/>
        </w:rPr>
        <w:t>普通居民的急救能力，强调对培训合格考核及认证机制的建立，提升公众对常见公共卫生事件自我防范知识知晓率。（牵头</w:t>
      </w:r>
      <w:r>
        <w:rPr>
          <w:rFonts w:hint="eastAsia" w:ascii="仿宋" w:hAnsi="仿宋" w:eastAsia="仿宋" w:cs="仿宋"/>
          <w:color w:val="auto"/>
          <w:sz w:val="32"/>
          <w:szCs w:val="32"/>
          <w:highlight w:val="none"/>
          <w:lang w:val="en-US" w:eastAsia="zh-CN"/>
        </w:rPr>
        <w:t>部门</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市教育局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参与部门：</w:t>
      </w:r>
      <w:r>
        <w:rPr>
          <w:rFonts w:hint="eastAsia" w:ascii="仿宋" w:hAnsi="仿宋" w:eastAsia="仿宋" w:cs="仿宋"/>
          <w:color w:val="auto"/>
          <w:sz w:val="32"/>
          <w:szCs w:val="32"/>
          <w:highlight w:val="none"/>
        </w:rPr>
        <w:t>市卫生健康委、市人力资源社会保障局）</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.加强重大传染病防控和慢性病综合防控</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加大新冠肺炎、艾滋病、结核病、病毒性肝炎等传染病防治力度，强化禽流感、狂犬病等人畜共患病源头治理，甲</w:t>
      </w:r>
      <w:r>
        <w:rPr>
          <w:rFonts w:hint="eastAsia" w:ascii="仿宋" w:hAnsi="仿宋" w:eastAsia="仿宋" w:cs="仿宋"/>
          <w:b/>
          <w:bCs/>
          <w:color w:val="auto"/>
          <w:sz w:val="32"/>
          <w:szCs w:val="32"/>
          <w:highlight w:val="none"/>
        </w:rPr>
        <w:t>、</w:t>
      </w:r>
      <w:r>
        <w:rPr>
          <w:rFonts w:hint="eastAsia" w:ascii="仿宋" w:hAnsi="仿宋" w:eastAsia="仿宋" w:cs="仿宋"/>
          <w:color w:val="auto"/>
          <w:sz w:val="32"/>
          <w:szCs w:val="32"/>
          <w:highlight w:val="none"/>
        </w:rPr>
        <w:t>乙类传染病发病率保持全国较低水平。加强慢性病综合防控示范区建设，规范实施重点慢病危险因素干预，实施早诊早治，健全完善筛查与早诊早治网络，推动开展适龄人口高危人群早期筛查与随访，提高患者早期发现水平。加强高血压、糖尿病规范管理和控制，探索开展血脂异常管理。逐步将癌症、心脑血管疾病等重大慢性病早诊早治适宜技术纳入诊疗常规。充分发挥医保支持作用，强化心血管疾病、糖尿病、慢阻肺及癌症等慢性疾病的防治，实施“三减控三高”项目（减盐、减糖、减油，控制高血压、高血糖、高血脂），引导餐饮单位积极采取控制油、盐、糖使用量的措施，引导食品生产加工企业及餐饮单位落实“三减”措施，强化重点人群、高危人群和患者生活方式干预。到2025年，重大慢病过早死亡率降低到14%以下。（牵头</w:t>
      </w:r>
      <w:r>
        <w:rPr>
          <w:rFonts w:hint="eastAsia" w:ascii="仿宋" w:hAnsi="仿宋" w:eastAsia="仿宋" w:cs="仿宋"/>
          <w:color w:val="auto"/>
          <w:sz w:val="32"/>
          <w:szCs w:val="32"/>
          <w:highlight w:val="none"/>
          <w:lang w:val="en-US" w:eastAsia="zh-CN"/>
        </w:rPr>
        <w:t>部门</w:t>
      </w:r>
      <w:r>
        <w:rPr>
          <w:rFonts w:hint="eastAsia" w:ascii="仿宋" w:hAnsi="仿宋" w:eastAsia="仿宋" w:cs="仿宋"/>
          <w:color w:val="auto"/>
          <w:sz w:val="32"/>
          <w:szCs w:val="32"/>
          <w:highlight w:val="none"/>
        </w:rPr>
        <w:t>：市卫生健康委</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参与部门：</w:t>
      </w:r>
      <w:r>
        <w:rPr>
          <w:rFonts w:hint="eastAsia" w:ascii="仿宋" w:hAnsi="仿宋" w:eastAsia="仿宋" w:cs="仿宋"/>
          <w:color w:val="auto"/>
          <w:sz w:val="32"/>
          <w:szCs w:val="32"/>
          <w:highlight w:val="none"/>
        </w:rPr>
        <w:t>市各职能部门、各区市政府、管委）</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8.加强精神卫生和心理健康促进</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完善社会心理服务体系，建立健全党政领导、部门协同、社会参与的工作机制，逐步搭建社会心理服务平台，开展心理健康评估及常见精神障碍早期筛查</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加强严重精神障碍患者服务管理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完善临床心理健康服务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开展心理危机干预和心理援助工作</w:t>
      </w:r>
      <w:r>
        <w:rPr>
          <w:rFonts w:hint="eastAsia" w:ascii="仿宋" w:hAnsi="仿宋" w:eastAsia="仿宋" w:cs="仿宋"/>
          <w:color w:val="auto"/>
          <w:sz w:val="32"/>
          <w:szCs w:val="32"/>
          <w:highlight w:val="none"/>
          <w:lang w:eastAsia="zh-CN"/>
        </w:rPr>
        <w:t>，加大</w:t>
      </w:r>
      <w:r>
        <w:rPr>
          <w:rFonts w:hint="eastAsia" w:ascii="仿宋" w:hAnsi="仿宋" w:eastAsia="仿宋" w:cs="仿宋"/>
          <w:color w:val="auto"/>
          <w:sz w:val="32"/>
          <w:szCs w:val="32"/>
          <w:highlight w:val="none"/>
        </w:rPr>
        <w:t>对青少年、孕产妇、老年人、特殊家庭成员、高压职业等抑郁症防治重点人群干预</w:t>
      </w:r>
      <w:r>
        <w:rPr>
          <w:rFonts w:hint="eastAsia" w:ascii="仿宋" w:hAnsi="仿宋" w:eastAsia="仿宋" w:cs="仿宋"/>
          <w:color w:val="auto"/>
          <w:sz w:val="32"/>
          <w:szCs w:val="32"/>
          <w:highlight w:val="none"/>
          <w:lang w:eastAsia="zh-CN"/>
        </w:rPr>
        <w:t>力度，</w:t>
      </w:r>
      <w:r>
        <w:rPr>
          <w:rFonts w:hint="eastAsia" w:ascii="仿宋" w:hAnsi="仿宋" w:eastAsia="仿宋" w:cs="仿宋"/>
          <w:color w:val="auto"/>
          <w:sz w:val="32"/>
          <w:szCs w:val="32"/>
          <w:highlight w:val="none"/>
        </w:rPr>
        <w:t>将心理健康服务融入社会治理体系、精神文明建设中，基本形成自尊自信、理性平和、积极向上的社会心态，实现因矛盾突出、生活失意、心态失衡、行为失常等导致的极端案（事）件明显下降；</w:t>
      </w:r>
      <w:r>
        <w:rPr>
          <w:rFonts w:hint="eastAsia" w:ascii="宋体" w:hAnsi="宋体" w:eastAsia="仿宋"/>
          <w:color w:val="auto"/>
          <w:sz w:val="32"/>
          <w:szCs w:val="32"/>
          <w:lang w:val="en-US" w:eastAsia="zh-CN"/>
        </w:rPr>
        <w:t>新建烟台市心理康复医院莱山院区</w:t>
      </w:r>
      <w:r>
        <w:rPr>
          <w:rFonts w:hint="eastAsia" w:ascii="仿宋" w:hAnsi="仿宋" w:eastAsia="仿宋" w:cs="仿宋"/>
          <w:color w:val="auto"/>
          <w:sz w:val="32"/>
          <w:szCs w:val="32"/>
          <w:highlight w:val="none"/>
        </w:rPr>
        <w:t>，进一步满足全市人民心理健康服务需求。</w:t>
      </w:r>
      <w:r>
        <w:rPr>
          <w:rFonts w:hint="eastAsia" w:ascii="仿宋" w:hAnsi="仿宋" w:eastAsia="仿宋" w:cs="Times New Roman"/>
          <w:bCs/>
          <w:color w:val="auto"/>
          <w:sz w:val="32"/>
        </w:rPr>
        <w:t>到 2025年，严重精神障碍患者应收尽收、应管尽管、应治尽治，管理率、治疗率力争达到</w:t>
      </w:r>
      <w:r>
        <w:rPr>
          <w:rFonts w:ascii="仿宋" w:hAnsi="仿宋" w:eastAsia="仿宋" w:cs="Times New Roman"/>
          <w:bCs/>
          <w:color w:val="auto"/>
          <w:sz w:val="32"/>
        </w:rPr>
        <w:t>90</w:t>
      </w:r>
      <w:r>
        <w:rPr>
          <w:rFonts w:hint="eastAsia" w:ascii="仿宋" w:hAnsi="仿宋" w:eastAsia="仿宋" w:cs="Times New Roman"/>
          <w:bCs/>
          <w:color w:val="auto"/>
          <w:sz w:val="32"/>
        </w:rPr>
        <w:t>%以上，抑郁症治疗率大幅提高。</w:t>
      </w:r>
      <w:r>
        <w:rPr>
          <w:rFonts w:hint="eastAsia" w:ascii="仿宋" w:hAnsi="仿宋" w:eastAsia="仿宋" w:cs="仿宋"/>
          <w:color w:val="auto"/>
          <w:sz w:val="32"/>
          <w:szCs w:val="32"/>
          <w:highlight w:val="none"/>
        </w:rPr>
        <w:t>（牵头</w:t>
      </w:r>
      <w:r>
        <w:rPr>
          <w:rFonts w:hint="eastAsia" w:ascii="仿宋" w:hAnsi="仿宋" w:eastAsia="仿宋" w:cs="仿宋"/>
          <w:color w:val="auto"/>
          <w:sz w:val="32"/>
          <w:szCs w:val="32"/>
          <w:highlight w:val="none"/>
          <w:lang w:val="en-US" w:eastAsia="zh-CN"/>
        </w:rPr>
        <w:t>部门</w:t>
      </w:r>
      <w:r>
        <w:rPr>
          <w:rFonts w:hint="eastAsia" w:ascii="仿宋" w:hAnsi="仿宋" w:eastAsia="仿宋" w:cs="仿宋"/>
          <w:color w:val="auto"/>
          <w:sz w:val="32"/>
          <w:szCs w:val="32"/>
          <w:highlight w:val="none"/>
        </w:rPr>
        <w:t>：</w:t>
      </w:r>
      <w:r>
        <w:rPr>
          <w:rFonts w:hint="eastAsia" w:ascii="宋体" w:hAnsi="宋体" w:eastAsia="仿宋"/>
          <w:color w:val="auto"/>
          <w:sz w:val="32"/>
          <w:szCs w:val="32"/>
          <w:lang w:val="en-US" w:eastAsia="zh-CN"/>
        </w:rPr>
        <w:t>市委政法委、市卫生健康委；参与部门：市发展改革委、市教育局、市总工会、市大数据局、各区市政府、管委</w:t>
      </w:r>
      <w:r>
        <w:rPr>
          <w:rFonts w:hint="eastAsia" w:ascii="仿宋" w:hAnsi="仿宋" w:eastAsia="仿宋" w:cs="仿宋"/>
          <w:color w:val="auto"/>
          <w:sz w:val="32"/>
          <w:szCs w:val="32"/>
          <w:highlight w:val="none"/>
        </w:rPr>
        <w:t>）</w:t>
      </w:r>
    </w:p>
    <w:p>
      <w:pPr>
        <w:spacing w:after="78" w:afterLines="25"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专栏</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 xml:space="preserve"> 公共卫生体系建设项目</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 w:hAnsi="仿宋" w:eastAsia="仿宋" w:cs="仿宋"/>
                <w:b/>
                <w:bCs/>
                <w:color w:val="auto"/>
                <w:sz w:val="32"/>
                <w:szCs w:val="32"/>
                <w:lang w:eastAsia="zh-CN"/>
              </w:rPr>
              <w:t>基层公共卫生组织体系建设</w:t>
            </w:r>
            <w:r>
              <w:rPr>
                <w:rFonts w:hint="eastAsia" w:ascii="仿宋" w:hAnsi="仿宋" w:eastAsia="仿宋" w:cs="仿宋"/>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党政部门、企事业单位明确公共卫生专员，乡镇（街道）明确具体承担公共卫生职能的工作机构，村（居）民委员会根据需要设立公共卫生委员会，乡镇（街道）、村（居)与基层医疗卫生机构形成联动工作机制。</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val="0"/>
                <w:bCs w:val="0"/>
                <w:color w:val="FF0000"/>
                <w:sz w:val="32"/>
                <w:szCs w:val="32"/>
                <w:lang w:val="en-US" w:eastAsia="zh-CN"/>
              </w:rPr>
            </w:pPr>
            <w:r>
              <w:rPr>
                <w:rFonts w:hint="eastAsia" w:ascii="仿宋" w:hAnsi="仿宋" w:eastAsia="仿宋" w:cs="仿宋"/>
                <w:b/>
                <w:bCs/>
                <w:color w:val="auto"/>
                <w:sz w:val="32"/>
                <w:szCs w:val="32"/>
                <w:lang w:eastAsia="zh-CN"/>
              </w:rPr>
              <w:t>公共卫生监测预警系统建设：</w:t>
            </w:r>
            <w:r>
              <w:rPr>
                <w:rFonts w:hint="eastAsia" w:ascii="仿宋_GB2312" w:hAnsi="仿宋_GB2312" w:eastAsia="仿宋_GB2312" w:cs="仿宋_GB2312"/>
                <w:b w:val="0"/>
                <w:bCs w:val="0"/>
                <w:color w:val="auto"/>
                <w:sz w:val="32"/>
                <w:szCs w:val="32"/>
                <w:lang w:eastAsia="zh-CN"/>
              </w:rPr>
              <w:t>对接各级各类医疗机构直接采集数据，多维度分析传染病病例和症状信息数据，实现实时健康监测、自动化预警和科学化、智能化决策辅助功能。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疾病预防控制模式改革工程：</w:t>
            </w:r>
            <w:r>
              <w:rPr>
                <w:rFonts w:hint="eastAsia" w:ascii="仿宋" w:hAnsi="仿宋" w:eastAsia="仿宋" w:cs="仿宋"/>
                <w:sz w:val="32"/>
                <w:szCs w:val="32"/>
              </w:rPr>
              <w:t>试点推行区域一体化疾病预防控制模式改革，在全市公立医院内设疾病预防控制科，由辖区疾病预防控制中心负责业务指导，把人群健康体检、疾病监测、危</w:t>
            </w:r>
            <w:r>
              <w:rPr>
                <w:rFonts w:hint="eastAsia" w:ascii="仿宋" w:hAnsi="仿宋" w:eastAsia="仿宋" w:cs="仿宋"/>
                <w:sz w:val="32"/>
                <w:szCs w:val="32"/>
                <w:lang w:eastAsia="zh-CN"/>
              </w:rPr>
              <w:t>险</w:t>
            </w:r>
            <w:r>
              <w:rPr>
                <w:rFonts w:hint="eastAsia" w:ascii="仿宋" w:hAnsi="仿宋" w:eastAsia="仿宋" w:cs="仿宋"/>
                <w:sz w:val="32"/>
                <w:szCs w:val="32"/>
              </w:rPr>
              <w:t>因素监测、健康教育、传染病监测与应对一体化，解决疾病预防控制机构人员编制不足和医防协同不顺畅的问题。</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color w:val="auto"/>
                <w:sz w:val="32"/>
                <w:szCs w:val="32"/>
                <w:lang w:eastAsia="zh-CN"/>
              </w:rPr>
              <w:t>公共卫生事件应急救援区域中心项目：</w:t>
            </w:r>
            <w:r>
              <w:rPr>
                <w:rFonts w:hint="eastAsia" w:ascii="仿宋" w:hAnsi="仿宋" w:eastAsia="仿宋" w:cs="仿宋"/>
                <w:color w:val="auto"/>
                <w:sz w:val="32"/>
                <w:szCs w:val="32"/>
                <w:lang w:eastAsia="zh-CN"/>
              </w:rPr>
              <w:t>按照山东省重大公共卫生事件救援布局，建设公共卫生事件应急救援区域中心。</w:t>
            </w:r>
          </w:p>
        </w:tc>
      </w:tr>
    </w:tbl>
    <w:p>
      <w:pPr>
        <w:pStyle w:val="3"/>
        <w:bidi w:val="0"/>
        <w:ind w:firstLine="643" w:firstLineChars="200"/>
        <w:rPr>
          <w:rFonts w:hint="eastAsia" w:ascii="楷体" w:hAnsi="楷体" w:eastAsia="楷体" w:cs="楷体"/>
          <w:sz w:val="32"/>
          <w:szCs w:val="32"/>
        </w:rPr>
      </w:pPr>
      <w:bookmarkStart w:id="8" w:name="_Toc7015"/>
    </w:p>
    <w:p>
      <w:pPr>
        <w:pStyle w:val="3"/>
        <w:bidi w:val="0"/>
        <w:ind w:firstLine="643"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）全面推进健康烟台建设</w:t>
      </w:r>
      <w:bookmarkEnd w:id="8"/>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shd w:val="clear" w:color="auto" w:fill="FFFFFF"/>
        </w:rPr>
        <w:t>推动将健康融入所有政策。树立“大卫生、大健康”理念，增强全生命周期健康管理理念，通过完善各方面政策，充分保障公民的健康教育、公平获得基本医疗卫生服务、获取健康信息、获得紧急医疗救助等各种权利，推动卫生健康事业从以治病为中心转变为以人民健康为中心，努力全方位、全周期维护人民健康。各部门各行业加强沟通协作，形成促进健康的合力，真正普及健康生活、优化健康服务、完善健康保障、建设健康环境、发展健康产业。加大健康知识传播力度，建立健康知识和技能核心信息发布制度；制定并实施健康影响评估制度，将公民主要健康指标的改善情况纳入政府目标责任考核，对各项经济社会发展规划、政策、工程项目进行系统的健康影响评估；建立政府主导、部门合作、全社会参与的全民健康素养促进长效机制和工作体系。</w:t>
      </w:r>
      <w:r>
        <w:rPr>
          <w:rFonts w:hint="eastAsia" w:ascii="仿宋" w:hAnsi="仿宋" w:eastAsia="仿宋" w:cs="仿宋"/>
          <w:color w:val="auto"/>
          <w:sz w:val="32"/>
          <w:szCs w:val="32"/>
          <w:highlight w:val="none"/>
        </w:rPr>
        <w:t>（牵头</w:t>
      </w:r>
      <w:r>
        <w:rPr>
          <w:rFonts w:hint="eastAsia" w:ascii="仿宋" w:hAnsi="仿宋" w:eastAsia="仿宋" w:cs="仿宋"/>
          <w:color w:val="auto"/>
          <w:sz w:val="32"/>
          <w:szCs w:val="32"/>
          <w:highlight w:val="none"/>
          <w:lang w:val="en-US" w:eastAsia="zh-CN"/>
        </w:rPr>
        <w:t>部门</w:t>
      </w:r>
      <w:r>
        <w:rPr>
          <w:rFonts w:hint="eastAsia" w:ascii="仿宋" w:hAnsi="仿宋" w:eastAsia="仿宋" w:cs="仿宋"/>
          <w:color w:val="auto"/>
          <w:sz w:val="32"/>
          <w:szCs w:val="32"/>
          <w:highlight w:val="none"/>
        </w:rPr>
        <w:t>：市卫生健康委</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参与部门：</w:t>
      </w:r>
      <w:r>
        <w:rPr>
          <w:rFonts w:hint="eastAsia" w:ascii="仿宋" w:hAnsi="仿宋" w:eastAsia="仿宋" w:cs="仿宋"/>
          <w:color w:val="auto"/>
          <w:sz w:val="32"/>
          <w:szCs w:val="32"/>
          <w:highlight w:val="none"/>
        </w:rPr>
        <w:t>市各职能部门、各区市政府、管委）</w:t>
      </w:r>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.高水平实施健康烟台行动。实施《健康烟台行动(2020-2022)》，逐级分解任务，层层落实责任。制定健康烟台行动监测评估和考核方案，对主要指标和重点任务实施进度、效果进行年度监测评估。</w:t>
      </w:r>
      <w:r>
        <w:rPr>
          <w:rFonts w:hint="eastAsia" w:ascii="仿宋_GB2312" w:hAnsi="宋体" w:eastAsia="仿宋_GB2312" w:cs="宋体"/>
          <w:color w:val="auto"/>
          <w:kern w:val="0"/>
          <w:sz w:val="32"/>
          <w:szCs w:val="32"/>
        </w:rPr>
        <w:t>充分发挥医疗</w:t>
      </w:r>
      <w:r>
        <w:rPr>
          <w:rFonts w:ascii="仿宋_GB2312" w:hAnsi="宋体" w:eastAsia="仿宋_GB2312" w:cs="宋体"/>
          <w:color w:val="auto"/>
          <w:kern w:val="0"/>
          <w:sz w:val="32"/>
          <w:szCs w:val="32"/>
        </w:rPr>
        <w:t>机构和医务人员作用，在诊疗过程中主动提供健康指导，</w:t>
      </w:r>
      <w:r>
        <w:rPr>
          <w:rFonts w:hint="eastAsia" w:ascii="仿宋_GB2312" w:hAnsi="宋体" w:eastAsia="仿宋_GB2312" w:cs="宋体"/>
          <w:color w:val="auto"/>
          <w:kern w:val="0"/>
          <w:sz w:val="32"/>
          <w:szCs w:val="32"/>
        </w:rPr>
        <w:t>二</w:t>
      </w:r>
      <w:r>
        <w:rPr>
          <w:rFonts w:ascii="仿宋_GB2312" w:hAnsi="宋体" w:eastAsia="仿宋_GB2312" w:cs="宋体"/>
          <w:color w:val="auto"/>
          <w:kern w:val="0"/>
          <w:sz w:val="32"/>
          <w:szCs w:val="32"/>
        </w:rPr>
        <w:t>级</w:t>
      </w:r>
      <w:r>
        <w:rPr>
          <w:rFonts w:hint="eastAsia" w:ascii="仿宋_GB2312" w:hAnsi="宋体" w:eastAsia="仿宋_GB2312" w:cs="宋体"/>
          <w:color w:val="auto"/>
          <w:kern w:val="0"/>
          <w:sz w:val="32"/>
          <w:szCs w:val="32"/>
        </w:rPr>
        <w:t>以上</w:t>
      </w:r>
      <w:r>
        <w:rPr>
          <w:rFonts w:ascii="仿宋_GB2312" w:hAnsi="宋体" w:eastAsia="仿宋_GB2312" w:cs="宋体"/>
          <w:color w:val="auto"/>
          <w:kern w:val="0"/>
          <w:sz w:val="32"/>
          <w:szCs w:val="32"/>
        </w:rPr>
        <w:t>医院要</w:t>
      </w:r>
      <w:r>
        <w:rPr>
          <w:rFonts w:hint="eastAsia" w:ascii="仿宋_GB2312" w:hAnsi="宋体" w:eastAsia="仿宋_GB2312" w:cs="宋体"/>
          <w:color w:val="auto"/>
          <w:kern w:val="0"/>
          <w:sz w:val="32"/>
          <w:szCs w:val="32"/>
        </w:rPr>
        <w:t>组建</w:t>
      </w:r>
      <w:r>
        <w:rPr>
          <w:rFonts w:ascii="仿宋_GB2312" w:hAnsi="宋体" w:eastAsia="仿宋_GB2312" w:cs="宋体"/>
          <w:color w:val="auto"/>
          <w:kern w:val="0"/>
          <w:sz w:val="32"/>
          <w:szCs w:val="32"/>
        </w:rPr>
        <w:t>健康科普队伍，制定健康科普工作计划，建设微博微信等新媒体健康科普平台，</w:t>
      </w:r>
      <w:r>
        <w:rPr>
          <w:rFonts w:hint="eastAsia" w:ascii="仿宋_GB2312" w:hAnsi="宋体" w:eastAsia="仿宋_GB2312" w:cs="宋体"/>
          <w:color w:val="auto"/>
          <w:kern w:val="0"/>
          <w:sz w:val="32"/>
          <w:szCs w:val="32"/>
        </w:rPr>
        <w:t>推动</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互联网</w:t>
      </w:r>
      <w:r>
        <w:rPr>
          <w:rFonts w:ascii="仿宋_GB2312" w:hAnsi="宋体" w:eastAsia="仿宋_GB2312" w:cs="宋体"/>
          <w:color w:val="auto"/>
          <w:kern w:val="0"/>
          <w:sz w:val="32"/>
          <w:szCs w:val="32"/>
        </w:rPr>
        <w:t>+精准健康科普”</w:t>
      </w:r>
      <w:r>
        <w:rPr>
          <w:rFonts w:hint="eastAsia" w:ascii="仿宋_GB2312" w:hAnsi="宋体" w:eastAsia="仿宋_GB2312" w:cs="宋体"/>
          <w:color w:val="auto"/>
          <w:kern w:val="0"/>
          <w:sz w:val="32"/>
          <w:szCs w:val="32"/>
        </w:rPr>
        <w:t>。</w:t>
      </w:r>
      <w:r>
        <w:rPr>
          <w:rFonts w:hint="eastAsia" w:ascii="仿宋" w:hAnsi="仿宋" w:eastAsia="仿宋" w:cs="仿宋"/>
          <w:color w:val="auto"/>
          <w:kern w:val="0"/>
          <w:sz w:val="32"/>
          <w:szCs w:val="32"/>
          <w:highlight w:val="none"/>
        </w:rPr>
        <w:t>以推进健康城市、健康村镇建设和健康促进示范</w:t>
      </w:r>
      <w:r>
        <w:rPr>
          <w:rFonts w:hint="eastAsia" w:ascii="仿宋" w:hAnsi="仿宋" w:eastAsia="仿宋" w:cs="仿宋"/>
          <w:color w:val="auto"/>
          <w:kern w:val="0"/>
          <w:sz w:val="32"/>
          <w:szCs w:val="32"/>
          <w:highlight w:val="none"/>
          <w:lang w:eastAsia="zh-CN"/>
        </w:rPr>
        <w:t>区（市）</w:t>
      </w:r>
      <w:r>
        <w:rPr>
          <w:rFonts w:hint="eastAsia" w:ascii="仿宋" w:hAnsi="仿宋" w:eastAsia="仿宋" w:cs="仿宋"/>
          <w:color w:val="auto"/>
          <w:kern w:val="0"/>
          <w:sz w:val="32"/>
          <w:szCs w:val="32"/>
          <w:highlight w:val="none"/>
        </w:rPr>
        <w:t>活动为抓手，普及健康生活方式，</w:t>
      </w:r>
      <w:r>
        <w:rPr>
          <w:rFonts w:hint="eastAsia" w:ascii="仿宋" w:hAnsi="仿宋" w:eastAsia="仿宋" w:cs="仿宋"/>
          <w:color w:val="auto"/>
          <w:sz w:val="32"/>
          <w:szCs w:val="32"/>
          <w:highlight w:val="none"/>
          <w:lang w:eastAsia="zh-CN"/>
        </w:rPr>
        <w:t>推进合理膳食行动，</w:t>
      </w:r>
      <w:r>
        <w:rPr>
          <w:rFonts w:hint="eastAsia" w:ascii="仿宋" w:hAnsi="仿宋" w:eastAsia="仿宋" w:cs="仿宋"/>
          <w:color w:val="auto"/>
          <w:sz w:val="32"/>
          <w:szCs w:val="32"/>
          <w:highlight w:val="none"/>
        </w:rPr>
        <w:t>广泛开展全民健身，</w:t>
      </w:r>
      <w:r>
        <w:rPr>
          <w:rFonts w:hint="eastAsia" w:ascii="仿宋" w:hAnsi="仿宋" w:eastAsia="仿宋" w:cs="仿宋"/>
          <w:color w:val="auto"/>
          <w:sz w:val="32"/>
          <w:szCs w:val="32"/>
          <w:highlight w:val="none"/>
          <w:lang w:eastAsia="zh-CN"/>
        </w:rPr>
        <w:t>实施交通安全生命防护工程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开展营养健康食堂（餐厅）建设试点</w:t>
      </w:r>
      <w:r>
        <w:rPr>
          <w:rFonts w:hint="eastAsia" w:ascii="仿宋" w:hAnsi="仿宋" w:eastAsia="仿宋" w:cs="仿宋"/>
          <w:color w:val="auto"/>
          <w:kern w:val="0"/>
          <w:sz w:val="32"/>
          <w:szCs w:val="32"/>
          <w:highlight w:val="none"/>
        </w:rPr>
        <w:t>。到2025年，国家级健康促进县（市、区）比例达到15%，省级健康促进县（市、区）比例达到80%，居民健康素养水平达到30%以上</w:t>
      </w:r>
      <w:r>
        <w:rPr>
          <w:rFonts w:hint="eastAsia" w:ascii="仿宋" w:hAnsi="仿宋" w:eastAsia="仿宋" w:cs="仿宋"/>
          <w:color w:val="auto"/>
          <w:sz w:val="32"/>
          <w:szCs w:val="32"/>
          <w:highlight w:val="none"/>
        </w:rPr>
        <w:t>。（牵头</w:t>
      </w:r>
      <w:r>
        <w:rPr>
          <w:rFonts w:hint="eastAsia" w:ascii="仿宋" w:hAnsi="仿宋" w:eastAsia="仿宋" w:cs="仿宋"/>
          <w:color w:val="auto"/>
          <w:sz w:val="32"/>
          <w:szCs w:val="32"/>
          <w:highlight w:val="none"/>
          <w:lang w:val="en-US" w:eastAsia="zh-CN"/>
        </w:rPr>
        <w:t>部门</w:t>
      </w:r>
      <w:r>
        <w:rPr>
          <w:rFonts w:hint="eastAsia" w:ascii="仿宋" w:hAnsi="仿宋" w:eastAsia="仿宋" w:cs="仿宋"/>
          <w:color w:val="auto"/>
          <w:sz w:val="32"/>
          <w:szCs w:val="32"/>
          <w:highlight w:val="none"/>
        </w:rPr>
        <w:t>：市卫生健康委</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参与部门：</w:t>
      </w:r>
      <w:r>
        <w:rPr>
          <w:rFonts w:hint="eastAsia" w:ascii="仿宋" w:hAnsi="仿宋" w:eastAsia="仿宋" w:cs="仿宋"/>
          <w:color w:val="auto"/>
          <w:sz w:val="32"/>
          <w:szCs w:val="32"/>
          <w:highlight w:val="none"/>
        </w:rPr>
        <w:t>市委宣传部、市委政法委、市委老干部局、市委网信办、市发展改革委、市教育局、市人力资源社会保障局、市医保局、市司法局、市财政局、市民政局、市文化和旅游局、市市场监管局、市住房城乡建设局、</w:t>
      </w:r>
      <w:r>
        <w:rPr>
          <w:rFonts w:hint="eastAsia" w:ascii="仿宋" w:hAnsi="仿宋" w:eastAsia="仿宋" w:cs="仿宋"/>
          <w:color w:val="auto"/>
          <w:sz w:val="32"/>
          <w:szCs w:val="32"/>
          <w:highlight w:val="none"/>
          <w:lang w:eastAsia="zh-CN"/>
        </w:rPr>
        <w:t>市生态环境局、</w:t>
      </w:r>
      <w:r>
        <w:rPr>
          <w:rFonts w:hint="eastAsia" w:ascii="仿宋" w:hAnsi="仿宋" w:eastAsia="仿宋" w:cs="仿宋"/>
          <w:color w:val="auto"/>
          <w:sz w:val="32"/>
          <w:szCs w:val="32"/>
          <w:highlight w:val="none"/>
        </w:rPr>
        <w:t>市交通运输局、团市委、市税务局、市退役军人局、市总工会、市科协、市红十字会、市妇联、市残联）</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维护环境健康与食品药品安全。</w:t>
      </w:r>
      <w:r>
        <w:rPr>
          <w:rFonts w:hint="eastAsia" w:ascii="仿宋" w:hAnsi="仿宋" w:eastAsia="仿宋" w:cs="Times New Roman"/>
          <w:color w:val="auto"/>
          <w:sz w:val="32"/>
          <w:szCs w:val="32"/>
        </w:rPr>
        <w:t>逐步建立环境与健康的</w:t>
      </w:r>
      <w:r>
        <w:rPr>
          <w:rFonts w:ascii="仿宋" w:hAnsi="仿宋" w:eastAsia="仿宋" w:cs="Times New Roman"/>
          <w:color w:val="auto"/>
          <w:sz w:val="32"/>
          <w:szCs w:val="32"/>
        </w:rPr>
        <w:t>调查、监测和</w:t>
      </w:r>
      <w:r>
        <w:rPr>
          <w:rFonts w:hint="eastAsia" w:ascii="仿宋" w:hAnsi="仿宋" w:eastAsia="仿宋" w:cs="Times New Roman"/>
          <w:color w:val="auto"/>
          <w:sz w:val="32"/>
          <w:szCs w:val="32"/>
        </w:rPr>
        <w:t>风险</w:t>
      </w:r>
      <w:r>
        <w:rPr>
          <w:rFonts w:ascii="仿宋" w:hAnsi="仿宋" w:eastAsia="仿宋" w:cs="Times New Roman"/>
          <w:color w:val="auto"/>
          <w:sz w:val="32"/>
          <w:szCs w:val="32"/>
        </w:rPr>
        <w:t>评估制度，加强与群众健康密切相关的</w:t>
      </w:r>
      <w:r>
        <w:rPr>
          <w:rFonts w:hint="eastAsia" w:ascii="仿宋" w:hAnsi="仿宋" w:eastAsia="仿宋" w:cs="Times New Roman"/>
          <w:color w:val="auto"/>
          <w:sz w:val="32"/>
          <w:szCs w:val="32"/>
        </w:rPr>
        <w:t>饮用水、空气、土壤等环境健康</w:t>
      </w:r>
      <w:r>
        <w:rPr>
          <w:rFonts w:ascii="仿宋" w:hAnsi="仿宋" w:eastAsia="仿宋" w:cs="Times New Roman"/>
          <w:color w:val="auto"/>
          <w:sz w:val="32"/>
          <w:szCs w:val="32"/>
        </w:rPr>
        <w:t>影响监测与评价</w:t>
      </w:r>
      <w:r>
        <w:rPr>
          <w:rFonts w:hint="eastAsia" w:ascii="仿宋" w:hAnsi="仿宋" w:eastAsia="仿宋" w:cs="Times New Roman"/>
          <w:color w:val="auto"/>
          <w:sz w:val="32"/>
          <w:szCs w:val="32"/>
        </w:rPr>
        <w:t>，加强</w:t>
      </w:r>
      <w:r>
        <w:rPr>
          <w:rFonts w:ascii="仿宋" w:hAnsi="仿宋" w:eastAsia="仿宋" w:cs="Times New Roman"/>
          <w:color w:val="auto"/>
          <w:sz w:val="32"/>
          <w:szCs w:val="32"/>
        </w:rPr>
        <w:t>伤害监测网络建设</w:t>
      </w:r>
      <w:r>
        <w:rPr>
          <w:rFonts w:hint="eastAsia" w:ascii="仿宋" w:hAnsi="仿宋" w:eastAsia="仿宋" w:cs="Times New Roman"/>
          <w:color w:val="auto"/>
          <w:sz w:val="32"/>
          <w:szCs w:val="32"/>
        </w:rPr>
        <w:t>。强化环境卫生综合治理</w:t>
      </w:r>
      <w:r>
        <w:rPr>
          <w:rFonts w:ascii="仿宋" w:hAnsi="仿宋" w:eastAsia="仿宋" w:cs="Times New Roman"/>
          <w:color w:val="auto"/>
          <w:sz w:val="32"/>
          <w:szCs w:val="32"/>
        </w:rPr>
        <w:t>，深入开展大气、</w:t>
      </w:r>
      <w:r>
        <w:rPr>
          <w:rFonts w:hint="eastAsia" w:ascii="仿宋" w:hAnsi="仿宋" w:eastAsia="仿宋" w:cs="Times New Roman"/>
          <w:color w:val="auto"/>
          <w:sz w:val="32"/>
          <w:szCs w:val="32"/>
        </w:rPr>
        <w:t>水</w:t>
      </w:r>
      <w:r>
        <w:rPr>
          <w:rFonts w:ascii="仿宋" w:hAnsi="仿宋" w:eastAsia="仿宋" w:cs="Times New Roman"/>
          <w:color w:val="auto"/>
          <w:sz w:val="32"/>
          <w:szCs w:val="32"/>
        </w:rPr>
        <w:t>、土壤污染防治，加大饮用水工程设施投入、管理和</w:t>
      </w:r>
      <w:r>
        <w:rPr>
          <w:rFonts w:hint="eastAsia" w:ascii="仿宋" w:hAnsi="仿宋" w:eastAsia="仿宋" w:cs="Times New Roman"/>
          <w:color w:val="auto"/>
          <w:sz w:val="32"/>
          <w:szCs w:val="32"/>
        </w:rPr>
        <w:t>维护，到2025年</w:t>
      </w:r>
      <w:r>
        <w:rPr>
          <w:rFonts w:hint="eastAsia" w:ascii="宋体" w:hAnsi="宋体" w:eastAsia="仿宋_GB2312" w:cs="仿宋_GB2312"/>
          <w:color w:val="auto"/>
          <w:kern w:val="0"/>
          <w:sz w:val="32"/>
          <w:szCs w:val="32"/>
        </w:rPr>
        <w:t>城市集中式饮用水水源水质全部达到考核标准；农村生活饮用水水质监测以乡镇为单位实现全覆盖。</w:t>
      </w:r>
      <w:r>
        <w:rPr>
          <w:rFonts w:ascii="仿宋" w:hAnsi="仿宋" w:eastAsia="仿宋" w:cs="Times New Roman"/>
          <w:color w:val="auto"/>
          <w:sz w:val="32"/>
          <w:szCs w:val="32"/>
        </w:rPr>
        <w:t>加强城市公共</w:t>
      </w:r>
      <w:r>
        <w:rPr>
          <w:rFonts w:hint="eastAsia" w:ascii="仿宋" w:hAnsi="仿宋" w:eastAsia="仿宋" w:cs="Times New Roman"/>
          <w:color w:val="auto"/>
          <w:sz w:val="32"/>
          <w:szCs w:val="32"/>
        </w:rPr>
        <w:t>安全</w:t>
      </w:r>
      <w:r>
        <w:rPr>
          <w:rFonts w:ascii="仿宋" w:hAnsi="仿宋" w:eastAsia="仿宋" w:cs="Times New Roman"/>
          <w:color w:val="auto"/>
          <w:sz w:val="32"/>
          <w:szCs w:val="32"/>
        </w:rPr>
        <w:t>基础设施</w:t>
      </w:r>
      <w:r>
        <w:rPr>
          <w:rFonts w:hint="eastAsia" w:ascii="仿宋" w:hAnsi="仿宋" w:eastAsia="仿宋" w:cs="Times New Roman"/>
          <w:color w:val="auto"/>
          <w:sz w:val="32"/>
          <w:szCs w:val="32"/>
        </w:rPr>
        <w:t>建设</w:t>
      </w:r>
      <w:r>
        <w:rPr>
          <w:rFonts w:ascii="仿宋" w:hAnsi="仿宋" w:eastAsia="仿宋" w:cs="Times New Roman"/>
          <w:color w:val="auto"/>
          <w:sz w:val="32"/>
          <w:szCs w:val="32"/>
        </w:rPr>
        <w:t>，提高企业、医院、学校、大型商场、</w:t>
      </w:r>
      <w:r>
        <w:rPr>
          <w:rFonts w:hint="eastAsia" w:ascii="仿宋" w:hAnsi="仿宋" w:eastAsia="仿宋" w:cs="Times New Roman"/>
          <w:color w:val="auto"/>
          <w:sz w:val="32"/>
          <w:szCs w:val="32"/>
        </w:rPr>
        <w:t>文体娱乐</w:t>
      </w:r>
      <w:r>
        <w:rPr>
          <w:rFonts w:ascii="仿宋" w:hAnsi="仿宋" w:eastAsia="仿宋" w:cs="Times New Roman"/>
          <w:color w:val="auto"/>
          <w:sz w:val="32"/>
          <w:szCs w:val="32"/>
        </w:rPr>
        <w:t>场所等人员密集区域防</w:t>
      </w:r>
      <w:r>
        <w:rPr>
          <w:rFonts w:hint="eastAsia" w:ascii="仿宋" w:hAnsi="仿宋" w:eastAsia="仿宋" w:cs="Times New Roman"/>
          <w:color w:val="auto"/>
          <w:sz w:val="32"/>
          <w:szCs w:val="32"/>
        </w:rPr>
        <w:t>灾</w:t>
      </w:r>
      <w:r>
        <w:rPr>
          <w:rFonts w:ascii="仿宋" w:hAnsi="仿宋" w:eastAsia="仿宋" w:cs="Times New Roman"/>
          <w:color w:val="auto"/>
          <w:sz w:val="32"/>
          <w:szCs w:val="32"/>
        </w:rPr>
        <w:t>抗灾及应对突发事件的能力</w:t>
      </w:r>
      <w:r>
        <w:rPr>
          <w:rFonts w:hint="eastAsia" w:ascii="仿宋" w:hAnsi="仿宋" w:eastAsia="仿宋" w:cs="Times New Roman"/>
          <w:color w:val="auto"/>
          <w:sz w:val="32"/>
          <w:szCs w:val="32"/>
        </w:rPr>
        <w:t>。实施</w:t>
      </w:r>
      <w:r>
        <w:rPr>
          <w:rFonts w:ascii="仿宋" w:hAnsi="仿宋" w:eastAsia="仿宋" w:cs="Times New Roman"/>
          <w:color w:val="auto"/>
          <w:sz w:val="32"/>
          <w:szCs w:val="32"/>
        </w:rPr>
        <w:t>交通安全生命防</w:t>
      </w:r>
      <w:r>
        <w:rPr>
          <w:rFonts w:hint="eastAsia" w:ascii="仿宋" w:hAnsi="仿宋" w:eastAsia="仿宋" w:cs="Times New Roman"/>
          <w:color w:val="auto"/>
          <w:sz w:val="32"/>
          <w:szCs w:val="32"/>
        </w:rPr>
        <w:t>护</w:t>
      </w:r>
      <w:r>
        <w:rPr>
          <w:rFonts w:ascii="仿宋" w:hAnsi="仿宋" w:eastAsia="仿宋" w:cs="Times New Roman"/>
          <w:color w:val="auto"/>
          <w:sz w:val="32"/>
          <w:szCs w:val="32"/>
        </w:rPr>
        <w:t>工程</w:t>
      </w:r>
      <w:r>
        <w:rPr>
          <w:rFonts w:hint="eastAsia" w:ascii="仿宋" w:hAnsi="仿宋" w:eastAsia="仿宋" w:cs="Times New Roman"/>
          <w:color w:val="auto"/>
          <w:sz w:val="32"/>
          <w:szCs w:val="32"/>
        </w:rPr>
        <w:t>。</w:t>
      </w:r>
      <w:r>
        <w:rPr>
          <w:rFonts w:hint="eastAsia" w:ascii="仿宋" w:hAnsi="仿宋" w:eastAsia="仿宋" w:cs="Times New Roman"/>
          <w:color w:val="auto"/>
          <w:kern w:val="0"/>
          <w:sz w:val="32"/>
          <w:szCs w:val="32"/>
        </w:rPr>
        <w:t>实施食品安全战</w:t>
      </w:r>
      <w:r>
        <w:rPr>
          <w:rFonts w:hint="eastAsia" w:ascii="仿宋" w:hAnsi="仿宋" w:eastAsia="仿宋" w:cs="Times New Roman"/>
          <w:color w:val="auto"/>
          <w:sz w:val="32"/>
          <w:szCs w:val="32"/>
        </w:rPr>
        <w:t>略，完善食品安全风险监测与评估工作体系，深入推进食品安全风险研判，推进</w:t>
      </w:r>
      <w:r>
        <w:rPr>
          <w:rFonts w:ascii="仿宋" w:hAnsi="仿宋" w:eastAsia="仿宋" w:cs="Times New Roman"/>
          <w:color w:val="auto"/>
          <w:sz w:val="32"/>
          <w:szCs w:val="32"/>
        </w:rPr>
        <w:t>合理膳食行动，</w:t>
      </w:r>
      <w:r>
        <w:rPr>
          <w:rFonts w:hint="eastAsia" w:ascii="仿宋" w:hAnsi="仿宋" w:eastAsia="仿宋" w:cs="Times New Roman"/>
          <w:color w:val="auto"/>
          <w:sz w:val="32"/>
          <w:szCs w:val="32"/>
        </w:rPr>
        <w:t>形成合理膳食、适量运动</w:t>
      </w:r>
      <w:r>
        <w:rPr>
          <w:rFonts w:hint="eastAsia" w:ascii="仿宋" w:hAnsi="仿宋" w:eastAsia="仿宋" w:cs="Times New Roman"/>
          <w:color w:val="auto"/>
          <w:kern w:val="0"/>
          <w:sz w:val="32"/>
          <w:szCs w:val="32"/>
        </w:rPr>
        <w:t>、戒烟限酒和心理平衡的健康生活方式</w:t>
      </w:r>
      <w:r>
        <w:rPr>
          <w:rFonts w:hint="eastAsia" w:ascii="仿宋" w:hAnsi="仿宋" w:eastAsia="仿宋" w:cs="Times New Roman"/>
          <w:color w:val="auto"/>
          <w:sz w:val="32"/>
          <w:szCs w:val="32"/>
        </w:rPr>
        <w:t>。</w:t>
      </w:r>
      <w:r>
        <w:rPr>
          <w:rFonts w:hint="eastAsia" w:ascii="仿宋" w:hAnsi="仿宋" w:eastAsia="仿宋" w:cs="仿宋"/>
          <w:color w:val="auto"/>
          <w:sz w:val="32"/>
          <w:szCs w:val="32"/>
          <w:highlight w:val="none"/>
        </w:rPr>
        <w:t>（牵头</w:t>
      </w:r>
      <w:r>
        <w:rPr>
          <w:rFonts w:hint="eastAsia" w:ascii="仿宋" w:hAnsi="仿宋" w:eastAsia="仿宋" w:cs="仿宋"/>
          <w:color w:val="auto"/>
          <w:sz w:val="32"/>
          <w:szCs w:val="32"/>
          <w:highlight w:val="none"/>
          <w:lang w:val="en-US" w:eastAsia="zh-CN"/>
        </w:rPr>
        <w:t>部门</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市</w:t>
      </w:r>
      <w:r>
        <w:rPr>
          <w:rFonts w:hint="eastAsia" w:ascii="仿宋" w:hAnsi="仿宋" w:eastAsia="仿宋" w:cs="仿宋"/>
          <w:color w:val="auto"/>
          <w:sz w:val="32"/>
          <w:szCs w:val="32"/>
          <w:highlight w:val="none"/>
        </w:rPr>
        <w:t>生态环境</w:t>
      </w:r>
      <w:r>
        <w:rPr>
          <w:rFonts w:hint="eastAsia" w:ascii="仿宋" w:hAnsi="仿宋" w:eastAsia="仿宋" w:cs="仿宋"/>
          <w:color w:val="auto"/>
          <w:sz w:val="32"/>
          <w:szCs w:val="32"/>
          <w:highlight w:val="none"/>
          <w:lang w:eastAsia="zh-CN"/>
        </w:rPr>
        <w:t>局</w:t>
      </w:r>
      <w:r>
        <w:rPr>
          <w:rFonts w:hint="eastAsia" w:ascii="仿宋" w:hAnsi="仿宋" w:eastAsia="仿宋" w:cs="仿宋"/>
          <w:color w:val="auto"/>
          <w:sz w:val="32"/>
          <w:szCs w:val="32"/>
          <w:highlight w:val="none"/>
        </w:rPr>
        <w:t>、市市场监管局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参与部门：</w:t>
      </w:r>
      <w:r>
        <w:rPr>
          <w:rFonts w:hint="eastAsia" w:ascii="仿宋" w:hAnsi="仿宋" w:eastAsia="仿宋" w:cs="仿宋"/>
          <w:color w:val="auto"/>
          <w:sz w:val="32"/>
          <w:szCs w:val="32"/>
          <w:highlight w:val="none"/>
        </w:rPr>
        <w:t>市卫生健康委、</w:t>
      </w:r>
      <w:r>
        <w:rPr>
          <w:rFonts w:hint="eastAsia" w:ascii="仿宋" w:hAnsi="仿宋" w:eastAsia="仿宋" w:cs="仿宋"/>
          <w:color w:val="auto"/>
          <w:sz w:val="32"/>
          <w:szCs w:val="32"/>
          <w:highlight w:val="none"/>
          <w:lang w:eastAsia="zh-CN"/>
        </w:rPr>
        <w:t>市</w:t>
      </w:r>
      <w:r>
        <w:rPr>
          <w:rFonts w:hint="eastAsia" w:ascii="仿宋" w:hAnsi="仿宋" w:eastAsia="仿宋" w:cs="仿宋"/>
          <w:color w:val="auto"/>
          <w:sz w:val="32"/>
          <w:szCs w:val="32"/>
          <w:highlight w:val="none"/>
        </w:rPr>
        <w:t>水利</w:t>
      </w:r>
      <w:r>
        <w:rPr>
          <w:rFonts w:hint="eastAsia" w:ascii="仿宋" w:hAnsi="仿宋" w:eastAsia="仿宋" w:cs="仿宋"/>
          <w:color w:val="auto"/>
          <w:sz w:val="32"/>
          <w:szCs w:val="32"/>
          <w:highlight w:val="none"/>
          <w:lang w:eastAsia="zh-CN"/>
        </w:rPr>
        <w:t>局</w:t>
      </w:r>
      <w:r>
        <w:rPr>
          <w:rFonts w:hint="eastAsia" w:ascii="仿宋" w:hAnsi="仿宋" w:eastAsia="仿宋" w:cs="仿宋"/>
          <w:color w:val="auto"/>
          <w:sz w:val="32"/>
          <w:szCs w:val="32"/>
          <w:highlight w:val="none"/>
        </w:rPr>
        <w:t>、市住房城乡建设局、</w:t>
      </w:r>
      <w:r>
        <w:rPr>
          <w:rFonts w:hint="eastAsia" w:ascii="仿宋" w:hAnsi="仿宋" w:eastAsia="仿宋" w:cs="仿宋"/>
          <w:color w:val="auto"/>
          <w:sz w:val="32"/>
          <w:szCs w:val="32"/>
          <w:highlight w:val="none"/>
          <w:lang w:eastAsia="zh-CN"/>
        </w:rPr>
        <w:t>市</w:t>
      </w:r>
      <w:r>
        <w:rPr>
          <w:rFonts w:hint="eastAsia" w:ascii="仿宋" w:hAnsi="仿宋" w:eastAsia="仿宋" w:cs="仿宋"/>
          <w:color w:val="auto"/>
          <w:sz w:val="32"/>
          <w:szCs w:val="32"/>
          <w:highlight w:val="none"/>
        </w:rPr>
        <w:t>交通运输</w:t>
      </w:r>
      <w:r>
        <w:rPr>
          <w:rFonts w:hint="eastAsia" w:ascii="仿宋" w:hAnsi="仿宋" w:eastAsia="仿宋" w:cs="仿宋"/>
          <w:color w:val="auto"/>
          <w:sz w:val="32"/>
          <w:szCs w:val="32"/>
          <w:highlight w:val="none"/>
          <w:lang w:eastAsia="zh-CN"/>
        </w:rPr>
        <w:t>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市</w:t>
      </w:r>
      <w:r>
        <w:rPr>
          <w:rFonts w:hint="eastAsia" w:ascii="仿宋" w:hAnsi="仿宋" w:eastAsia="仿宋" w:cs="仿宋"/>
          <w:color w:val="auto"/>
          <w:sz w:val="32"/>
          <w:szCs w:val="32"/>
          <w:highlight w:val="none"/>
        </w:rPr>
        <w:t>文化和旅游</w:t>
      </w:r>
      <w:r>
        <w:rPr>
          <w:rFonts w:hint="eastAsia" w:ascii="仿宋" w:hAnsi="仿宋" w:eastAsia="仿宋" w:cs="仿宋"/>
          <w:color w:val="auto"/>
          <w:sz w:val="32"/>
          <w:szCs w:val="32"/>
          <w:highlight w:val="none"/>
          <w:lang w:eastAsia="zh-CN"/>
        </w:rPr>
        <w:t>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市</w:t>
      </w:r>
      <w:r>
        <w:rPr>
          <w:rFonts w:hint="eastAsia" w:ascii="仿宋" w:hAnsi="仿宋" w:eastAsia="仿宋" w:cs="仿宋"/>
          <w:color w:val="auto"/>
          <w:sz w:val="32"/>
          <w:szCs w:val="32"/>
          <w:highlight w:val="none"/>
        </w:rPr>
        <w:t>应急</w:t>
      </w:r>
      <w:r>
        <w:rPr>
          <w:rFonts w:hint="eastAsia" w:ascii="仿宋" w:hAnsi="仿宋" w:eastAsia="仿宋" w:cs="仿宋"/>
          <w:color w:val="auto"/>
          <w:sz w:val="32"/>
          <w:szCs w:val="32"/>
          <w:highlight w:val="none"/>
          <w:lang w:eastAsia="zh-CN"/>
        </w:rPr>
        <w:t>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市</w:t>
      </w:r>
      <w:r>
        <w:rPr>
          <w:rFonts w:hint="eastAsia" w:ascii="仿宋" w:hAnsi="仿宋" w:eastAsia="仿宋" w:cs="仿宋"/>
          <w:color w:val="auto"/>
          <w:sz w:val="32"/>
          <w:szCs w:val="32"/>
          <w:highlight w:val="none"/>
        </w:rPr>
        <w:t>药监局）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68" w:lineRule="atLeast"/>
        <w:ind w:left="0" w:right="0" w:firstLine="640" w:firstLineChars="200"/>
        <w:jc w:val="both"/>
        <w:rPr>
          <w:rFonts w:hint="eastAsia" w:ascii="仿宋" w:hAnsi="仿宋" w:eastAsia="仿宋" w:cs="仿宋"/>
          <w:sz w:val="32"/>
          <w:szCs w:val="32"/>
        </w:rPr>
      </w:pP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lang w:eastAsia="zh-CN"/>
        </w:rPr>
        <w:t>深入开展爱国卫生运动。</w:t>
      </w:r>
      <w:r>
        <w:rPr>
          <w:rFonts w:hint="eastAsia" w:ascii="仿宋" w:hAnsi="仿宋" w:eastAsia="仿宋" w:cs="仿宋"/>
          <w:sz w:val="32"/>
          <w:szCs w:val="32"/>
          <w:highlight w:val="none"/>
        </w:rPr>
        <w:t>全面推动从环境卫生治理向全面社会健康管理转变。健全市县两级爱卫会办公室运转机制，强化爱国卫生专业技术支撑</w:t>
      </w:r>
      <w:r>
        <w:rPr>
          <w:rFonts w:hint="eastAsia" w:ascii="仿宋" w:hAnsi="仿宋" w:eastAsia="仿宋" w:cs="仿宋"/>
          <w:sz w:val="32"/>
          <w:szCs w:val="32"/>
          <w:highlight w:val="none"/>
          <w:lang w:eastAsia="zh-CN"/>
        </w:rPr>
        <w:t>，推动村（居）委会设立公共卫生委员会</w:t>
      </w:r>
      <w:r>
        <w:rPr>
          <w:rFonts w:hint="eastAsia" w:ascii="仿宋" w:hAnsi="仿宋" w:eastAsia="仿宋" w:cs="仿宋"/>
          <w:sz w:val="32"/>
          <w:szCs w:val="32"/>
          <w:highlight w:val="none"/>
        </w:rPr>
        <w:t>。推进</w:t>
      </w:r>
      <w:r>
        <w:rPr>
          <w:rFonts w:hint="eastAsia" w:ascii="仿宋" w:hAnsi="仿宋" w:eastAsia="仿宋" w:cs="仿宋"/>
          <w:sz w:val="32"/>
          <w:szCs w:val="32"/>
          <w:highlight w:val="none"/>
          <w:lang w:eastAsia="zh-CN"/>
        </w:rPr>
        <w:t>健康城市和健康细胞建设</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普及文明健康、绿色环保的生活方式。</w:t>
      </w:r>
      <w:r>
        <w:rPr>
          <w:rFonts w:hint="eastAsia" w:ascii="仿宋" w:hAnsi="仿宋" w:eastAsia="仿宋" w:cs="仿宋"/>
          <w:sz w:val="32"/>
          <w:szCs w:val="32"/>
          <w:highlight w:val="none"/>
        </w:rPr>
        <w:t>加强公共卫生环境基础设施建设，推进卫生城镇创建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强化病媒生物防制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全面改善人居环境。加快推进海阳市、莱阳市和栖霞市完成国家卫生城市创建申报评审工作。到2025年，国家卫生城市比例达到100%，国家卫生乡镇比例达到50%以上，省级卫生村比例达到100%；城市厕所全部达到二类标准；建成各类健康细胞600个。</w:t>
      </w:r>
      <w:r>
        <w:rPr>
          <w:rFonts w:hint="eastAsia" w:ascii="仿宋" w:hAnsi="仿宋" w:eastAsia="仿宋" w:cs="仿宋"/>
          <w:color w:val="auto"/>
          <w:sz w:val="32"/>
          <w:szCs w:val="32"/>
          <w:highlight w:val="none"/>
        </w:rPr>
        <w:t>加大控烟宣传教育力度，积极推进无烟环境建设。到2025年，全面无烟法规覆盖人口比例提高至60%以上，15岁以上人群吸烟率下降至20%以下</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（牵头</w:t>
      </w:r>
      <w:r>
        <w:rPr>
          <w:rFonts w:hint="eastAsia" w:ascii="仿宋" w:hAnsi="仿宋" w:eastAsia="仿宋" w:cs="仿宋"/>
          <w:color w:val="auto"/>
          <w:sz w:val="32"/>
          <w:szCs w:val="32"/>
          <w:highlight w:val="none"/>
          <w:lang w:val="en-US" w:eastAsia="zh-CN"/>
        </w:rPr>
        <w:t>部门</w:t>
      </w:r>
      <w:r>
        <w:rPr>
          <w:rFonts w:hint="eastAsia" w:ascii="仿宋" w:hAnsi="仿宋" w:eastAsia="仿宋" w:cs="仿宋"/>
          <w:color w:val="auto"/>
          <w:sz w:val="32"/>
          <w:szCs w:val="32"/>
          <w:highlight w:val="none"/>
        </w:rPr>
        <w:t>：市卫生健康委</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参与部门：</w:t>
      </w:r>
      <w:r>
        <w:rPr>
          <w:rFonts w:hint="eastAsia" w:ascii="仿宋" w:hAnsi="仿宋" w:eastAsia="仿宋" w:cs="仿宋"/>
          <w:color w:val="auto"/>
          <w:sz w:val="32"/>
          <w:szCs w:val="32"/>
          <w:highlight w:val="none"/>
        </w:rPr>
        <w:t>市委编办、市农业农村局、市住房城乡建设局、市城管局、市市场</w:t>
      </w:r>
      <w:r>
        <w:rPr>
          <w:rFonts w:hint="eastAsia" w:ascii="仿宋" w:hAnsi="仿宋" w:eastAsia="仿宋" w:cs="仿宋"/>
          <w:sz w:val="32"/>
          <w:szCs w:val="32"/>
          <w:highlight w:val="none"/>
        </w:rPr>
        <w:t>监管局、</w:t>
      </w:r>
      <w:r>
        <w:rPr>
          <w:rFonts w:hint="eastAsia" w:ascii="仿宋" w:hAnsi="仿宋" w:eastAsia="仿宋" w:cs="仿宋"/>
          <w:color w:val="auto"/>
          <w:sz w:val="32"/>
          <w:szCs w:val="32"/>
          <w:highlight w:val="none"/>
        </w:rPr>
        <w:t>市烟草专卖局、</w:t>
      </w:r>
      <w:r>
        <w:rPr>
          <w:rFonts w:hint="eastAsia" w:ascii="仿宋" w:hAnsi="仿宋" w:eastAsia="仿宋" w:cs="仿宋"/>
          <w:sz w:val="32"/>
          <w:szCs w:val="32"/>
          <w:highlight w:val="none"/>
        </w:rPr>
        <w:t>各区市政府、管委）</w:t>
      </w:r>
    </w:p>
    <w:p>
      <w:pPr>
        <w:spacing w:after="78" w:afterLines="25"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专栏</w:t>
      </w:r>
      <w:r>
        <w:rPr>
          <w:rFonts w:hint="eastAsia" w:ascii="仿宋" w:hAnsi="仿宋" w:eastAsia="仿宋" w:cs="仿宋"/>
          <w:b/>
          <w:bCs/>
          <w:sz w:val="32"/>
          <w:szCs w:val="32"/>
          <w:lang w:val="en-US" w:eastAsia="zh-CN"/>
        </w:rPr>
        <w:t xml:space="preserve">2 </w:t>
      </w:r>
      <w:r>
        <w:rPr>
          <w:rFonts w:hint="eastAsia" w:ascii="仿宋" w:hAnsi="仿宋" w:eastAsia="仿宋" w:cs="仿宋"/>
          <w:b/>
          <w:bCs/>
          <w:sz w:val="32"/>
          <w:szCs w:val="32"/>
        </w:rPr>
        <w:t>推进健康烟台建设专项行动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实施健康烟台专项行动：</w:t>
            </w:r>
            <w:r>
              <w:rPr>
                <w:rFonts w:hint="eastAsia" w:ascii="仿宋" w:hAnsi="仿宋" w:eastAsia="仿宋" w:cs="仿宋"/>
                <w:sz w:val="32"/>
                <w:szCs w:val="32"/>
              </w:rPr>
              <w:t>以《关于贯彻健康中国行动推进健康烟台建设的实施方案》（烟政办发〔2020〕10号）为指导文件，牢固树立“每个人是自己健康第一责任人”的理念，实施健康知识普及行动、合理膳食行动、全民健身行动、控烟行动、心理健康促进行动、健康环境促进行动、妇幼健康促进行动、中小学健康促进行动、职业健康保护行动、老年健康促进行动、心脑血管疾病防治行动、癌症防治行动、慢性呼吸系统疾病防治行动、糖尿病防治行动、传染病及地方病防控行动。</w:t>
            </w:r>
          </w:p>
        </w:tc>
      </w:tr>
    </w:tbl>
    <w:p>
      <w:pPr>
        <w:numPr>
          <w:ilvl w:val="255"/>
          <w:numId w:val="0"/>
        </w:numPr>
        <w:rPr>
          <w:rFonts w:hint="eastAsia" w:ascii="仿宋" w:hAnsi="仿宋" w:eastAsia="仿宋" w:cs="仿宋"/>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rPr>
          <w:rStyle w:val="15"/>
          <w:rFonts w:hint="eastAsia" w:ascii="楷体" w:hAnsi="楷体" w:eastAsia="楷体" w:cs="楷体"/>
          <w:b/>
          <w:bCs/>
          <w:sz w:val="32"/>
          <w:szCs w:val="32"/>
          <w:lang w:val="en-US" w:eastAsia="zh-CN"/>
        </w:rPr>
      </w:pPr>
      <w:bookmarkStart w:id="9" w:name="_Toc3217"/>
      <w:r>
        <w:rPr>
          <w:rStyle w:val="15"/>
          <w:rFonts w:hint="eastAsia" w:ascii="楷体" w:hAnsi="楷体" w:eastAsia="楷体" w:cs="楷体"/>
          <w:b/>
          <w:bCs/>
          <w:sz w:val="32"/>
          <w:szCs w:val="32"/>
          <w:lang w:val="en-US" w:eastAsia="zh-CN"/>
        </w:rPr>
        <w:t>（三）构建全生命周期健康服务，积极应对人口老龄化</w:t>
      </w:r>
      <w:bookmarkEnd w:id="9"/>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sz w:val="32"/>
          <w:szCs w:val="32"/>
          <w:lang w:val="en-US" w:eastAsia="zh-CN"/>
        </w:rPr>
        <w:t xml:space="preserve"> </w:t>
      </w:r>
      <w:bookmarkStart w:id="10" w:name="_Toc23815"/>
      <w:r>
        <w:rPr>
          <w:rFonts w:hint="eastAsia" w:ascii="仿宋" w:hAnsi="仿宋" w:eastAsia="仿宋" w:cs="仿宋"/>
          <w:b w:val="0"/>
          <w:bCs w:val="0"/>
          <w:kern w:val="2"/>
          <w:sz w:val="32"/>
          <w:szCs w:val="32"/>
          <w:lang w:val="en-US" w:eastAsia="zh-CN" w:bidi="ar-SA"/>
        </w:rPr>
        <w:t>13.落实生育政策，提高优生优育服务水平。各级党委和政府要加强统筹规划、政策协调，</w:t>
      </w:r>
      <w:r>
        <w:rPr>
          <w:rFonts w:hint="default" w:ascii="仿宋" w:hAnsi="仿宋" w:eastAsia="仿宋" w:cs="仿宋"/>
          <w:b w:val="0"/>
          <w:bCs w:val="0"/>
          <w:kern w:val="2"/>
          <w:sz w:val="32"/>
          <w:szCs w:val="32"/>
          <w:lang w:val="en-US" w:eastAsia="zh-CN" w:bidi="ar-SA"/>
        </w:rPr>
        <w:t>实施一对夫妻可以生育三个子女政策及配套支持措施</w:t>
      </w:r>
      <w:r>
        <w:rPr>
          <w:rFonts w:hint="eastAsia" w:ascii="仿宋" w:hAnsi="仿宋" w:eastAsia="仿宋" w:cs="仿宋"/>
          <w:b w:val="0"/>
          <w:bCs w:val="0"/>
          <w:kern w:val="2"/>
          <w:sz w:val="32"/>
          <w:szCs w:val="32"/>
          <w:lang w:val="en-US" w:eastAsia="zh-CN" w:bidi="ar-SA"/>
        </w:rPr>
        <w:t>，促进生育政策与经济社会政策配套衔接，减轻家庭生育、养育、教育负担，健全重大经济社会政策人口</w:t>
      </w:r>
      <w:r>
        <w:rPr>
          <w:rFonts w:hint="eastAsia" w:ascii="仿宋" w:hAnsi="仿宋" w:eastAsia="仿宋" w:cs="仿宋"/>
          <w:b w:val="0"/>
          <w:bCs w:val="0"/>
          <w:color w:val="auto"/>
          <w:kern w:val="2"/>
          <w:sz w:val="32"/>
          <w:szCs w:val="32"/>
          <w:lang w:val="en-US" w:eastAsia="zh-CN" w:bidi="ar-SA"/>
        </w:rPr>
        <w:t>影响评估机制。完善生育休假与生育保险制度，探索实施父母育儿假，加强税收、住房等支持政策，保障女性就业合法权益。（牵头部门：市卫生健康委；参与部门：市人力资源社会保障局、市医保局、市民政局、市统计局、各区市政府、管委）</w:t>
      </w:r>
      <w:bookmarkEnd w:id="10"/>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健全婴幼儿发展政策。发展普惠托育服务体系，健全支持婴幼儿照护服务和早期发展的政策体系。加强对家庭照护和社区服务的支持指导，增强家庭科学育儿能力。严格落实城镇小区配套园政策，积极发展多种形式的婴幼儿照护服务机构，鼓励有条件的用人单位提供婴幼儿照护服务，支持企事业单位和社会组织等社会力量提供普惠托育服务，鼓励幼儿园发展托幼一体化服务。推进婴幼儿照护服务专业化、规范化发展，提高保育保教质量和水平。到2025年，每千人口拥有3岁以下</w:t>
      </w:r>
      <w:r>
        <w:rPr>
          <w:rFonts w:hint="eastAsia" w:ascii="仿宋" w:hAnsi="仿宋" w:eastAsia="仿宋" w:cs="仿宋"/>
          <w:color w:val="auto"/>
          <w:sz w:val="32"/>
          <w:szCs w:val="32"/>
          <w:highlight w:val="none"/>
        </w:rPr>
        <w:t>婴幼儿托位数达到</w:t>
      </w:r>
      <w:r>
        <w:rPr>
          <w:rFonts w:hint="eastAsia" w:ascii="仿宋" w:hAnsi="仿宋" w:eastAsia="仿宋" w:cs="仿宋"/>
          <w:color w:val="auto"/>
          <w:sz w:val="32"/>
          <w:szCs w:val="32"/>
          <w:highlight w:val="none"/>
          <w:lang w:val="en-US" w:eastAsia="zh-CN"/>
        </w:rPr>
        <w:t>4.5</w:t>
      </w:r>
      <w:r>
        <w:rPr>
          <w:rFonts w:hint="eastAsia" w:ascii="仿宋" w:hAnsi="仿宋" w:eastAsia="仿宋" w:cs="仿宋"/>
          <w:color w:val="auto"/>
          <w:sz w:val="32"/>
          <w:szCs w:val="32"/>
          <w:highlight w:val="none"/>
        </w:rPr>
        <w:t>个</w:t>
      </w:r>
      <w:r>
        <w:rPr>
          <w:rFonts w:hint="eastAsia" w:ascii="仿宋" w:hAnsi="仿宋" w:eastAsia="仿宋" w:cs="仿宋"/>
          <w:color w:val="auto"/>
          <w:sz w:val="32"/>
          <w:szCs w:val="32"/>
        </w:rPr>
        <w:t>。（牵头</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：市卫生健康委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参与部门：</w:t>
      </w:r>
      <w:r>
        <w:rPr>
          <w:rFonts w:hint="eastAsia" w:ascii="仿宋" w:hAnsi="仿宋" w:eastAsia="仿宋" w:cs="仿宋"/>
          <w:color w:val="auto"/>
          <w:sz w:val="32"/>
          <w:szCs w:val="32"/>
        </w:rPr>
        <w:t>市教育局、市住房城乡建设局、各区市政府、管委）</w:t>
      </w:r>
    </w:p>
    <w:p>
      <w:pPr>
        <w:keepNext w:val="0"/>
        <w:keepLines w:val="0"/>
        <w:widowControl/>
        <w:suppressLineNumbers w:val="0"/>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15.提升妇幼健康服务水平。深入实施“妇幼健康促进行动”，加强妇幼健康服务体系建设，到2025年，全市县级（不含区）妇幼保健机构中，二级甲等以上妇幼保健机构所占比例达到50%。实施母婴安全行动提升计划，落实母婴安全五项制度，</w:t>
      </w:r>
      <w:r>
        <w:rPr>
          <w:rFonts w:hint="eastAsia" w:ascii="仿宋" w:hAnsi="仿宋" w:eastAsia="仿宋" w:cs="仿宋"/>
          <w:color w:val="auto"/>
          <w:sz w:val="32"/>
          <w:szCs w:val="32"/>
        </w:rPr>
        <w:t>提</w:t>
      </w:r>
      <w:r>
        <w:rPr>
          <w:rFonts w:hint="eastAsia" w:ascii="仿宋" w:hAnsi="仿宋" w:eastAsia="仿宋" w:cs="仿宋"/>
          <w:color w:val="auto"/>
          <w:sz w:val="32"/>
          <w:szCs w:val="32"/>
          <w:lang w:eastAsia="zh-CN"/>
        </w:rPr>
        <w:t>升</w:t>
      </w:r>
      <w:r>
        <w:rPr>
          <w:rFonts w:hint="eastAsia" w:ascii="仿宋" w:hAnsi="仿宋" w:eastAsia="仿宋" w:cs="仿宋"/>
          <w:color w:val="auto"/>
          <w:sz w:val="32"/>
          <w:szCs w:val="32"/>
        </w:rPr>
        <w:t>孕产妇、新生儿危急重症</w:t>
      </w:r>
      <w:r>
        <w:rPr>
          <w:rFonts w:hint="eastAsia" w:ascii="仿宋" w:hAnsi="仿宋" w:eastAsia="仿宋" w:cs="仿宋"/>
          <w:color w:val="auto"/>
          <w:sz w:val="32"/>
          <w:szCs w:val="32"/>
          <w:lang w:eastAsia="zh-CN"/>
        </w:rPr>
        <w:t>联合</w:t>
      </w:r>
      <w:r>
        <w:rPr>
          <w:rFonts w:hint="eastAsia" w:ascii="仿宋" w:hAnsi="仿宋" w:eastAsia="仿宋" w:cs="仿宋"/>
          <w:color w:val="auto"/>
          <w:sz w:val="32"/>
          <w:szCs w:val="32"/>
        </w:rPr>
        <w:t>救治能力，降低孕产妇和婴儿死亡率。</w:t>
      </w:r>
      <w:r>
        <w:rPr>
          <w:rFonts w:hint="eastAsia" w:ascii="仿宋" w:hAnsi="仿宋" w:eastAsia="仿宋" w:cs="仿宋"/>
          <w:color w:val="auto"/>
          <w:sz w:val="32"/>
          <w:szCs w:val="32"/>
          <w:lang w:val="en-US" w:eastAsia="zh-CN"/>
        </w:rPr>
        <w:t>优化出生缺陷防治体系，统筹婚前、孕前健康检查</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推行婚姻登记与</w:t>
      </w:r>
      <w:r>
        <w:rPr>
          <w:rFonts w:hint="eastAsia" w:ascii="仿宋" w:hAnsi="仿宋" w:eastAsia="仿宋" w:cs="仿宋"/>
          <w:color w:val="auto"/>
          <w:sz w:val="32"/>
          <w:szCs w:val="32"/>
        </w:rPr>
        <w:t>婚前孕前</w:t>
      </w:r>
      <w:r>
        <w:rPr>
          <w:rFonts w:hint="eastAsia" w:ascii="仿宋" w:hAnsi="仿宋" w:eastAsia="仿宋" w:cs="仿宋"/>
          <w:color w:val="auto"/>
          <w:sz w:val="32"/>
          <w:szCs w:val="32"/>
          <w:lang w:eastAsia="zh-CN"/>
        </w:rPr>
        <w:t>医学检查</w:t>
      </w:r>
      <w:r>
        <w:rPr>
          <w:rFonts w:hint="eastAsia" w:ascii="仿宋" w:hAnsi="仿宋" w:eastAsia="仿宋" w:cs="仿宋"/>
          <w:color w:val="auto"/>
          <w:sz w:val="32"/>
          <w:szCs w:val="32"/>
        </w:rPr>
        <w:t>一站式服务</w:t>
      </w:r>
      <w:r>
        <w:rPr>
          <w:rFonts w:hint="eastAsia" w:ascii="仿宋" w:hAnsi="仿宋" w:eastAsia="仿宋" w:cs="仿宋"/>
          <w:color w:val="auto"/>
          <w:sz w:val="32"/>
          <w:szCs w:val="32"/>
          <w:lang w:eastAsia="zh-CN"/>
        </w:rPr>
        <w:t>模式</w:t>
      </w:r>
      <w:r>
        <w:rPr>
          <w:rFonts w:hint="eastAsia" w:ascii="仿宋" w:hAnsi="仿宋" w:eastAsia="仿宋" w:cs="仿宋"/>
          <w:color w:val="auto"/>
          <w:sz w:val="32"/>
          <w:szCs w:val="32"/>
          <w:lang w:val="en-US" w:eastAsia="zh-CN"/>
        </w:rPr>
        <w:t>，规范出生缺陷三级预防。实施健康儿童行动提升计划，加强未成年人健康保障，到2025年，全市0-6岁儿童实现眼保健及视力检查全覆盖。扩大适龄妇女“两癌”免费检查覆盖面。到2025年，全市妇女常见病筛查率达85%以上。实施艾滋病、梅毒、乙肝母婴传播消除行动。加强生殖健康，促进优生优育，为妇女儿童提供优质服务。（牵头部门：市卫生健康委；参与部门：市发展改革委、市教育局、市民政局、市财政局、市妇联）</w:t>
      </w:r>
    </w:p>
    <w:p>
      <w:pPr>
        <w:spacing w:line="360" w:lineRule="auto"/>
        <w:ind w:firstLine="640" w:firstLineChars="200"/>
        <w:rPr>
          <w:rFonts w:hint="default" w:ascii="仿宋" w:hAnsi="仿宋" w:eastAsia="仿宋" w:cs="仿宋"/>
          <w:color w:val="auto"/>
          <w:sz w:val="32"/>
          <w:szCs w:val="32"/>
          <w:lang w:val="en-US" w:eastAsia="zh-CN"/>
        </w:rPr>
      </w:pPr>
      <w:r>
        <w:rPr>
          <w:rFonts w:hint="eastAsia" w:ascii="宋体" w:hAnsi="宋体" w:eastAsia="仿宋" w:cstheme="minorBidi"/>
          <w:color w:val="auto"/>
          <w:kern w:val="2"/>
          <w:sz w:val="32"/>
          <w:szCs w:val="32"/>
          <w:lang w:val="en-US" w:eastAsia="zh-CN" w:bidi="ar-SA"/>
        </w:rPr>
        <w:t>16.促进</w:t>
      </w:r>
      <w:r>
        <w:rPr>
          <w:rFonts w:hint="default" w:ascii="宋体" w:hAnsi="宋体" w:eastAsia="仿宋" w:cstheme="minorBidi"/>
          <w:color w:val="auto"/>
          <w:kern w:val="2"/>
          <w:sz w:val="32"/>
          <w:szCs w:val="32"/>
          <w:lang w:val="en-US" w:eastAsia="zh-CN" w:bidi="ar-SA"/>
        </w:rPr>
        <w:t>青少年健康成长</w:t>
      </w:r>
      <w:r>
        <w:rPr>
          <w:rFonts w:hint="eastAsia" w:ascii="宋体" w:hAnsi="宋体" w:eastAsia="仿宋" w:cstheme="minorBidi"/>
          <w:color w:val="auto"/>
          <w:kern w:val="2"/>
          <w:sz w:val="32"/>
          <w:szCs w:val="32"/>
          <w:lang w:val="en-US" w:eastAsia="zh-CN" w:bidi="ar-SA"/>
        </w:rPr>
        <w:t>。校内外融合，通过家校社联动，形成覆盖校内外的体育与健康教育体系，构建并实施小初高相衔接的体育与健康课，加强中小学校医、保健教师配备，完善学校卫生室，开展常见传染病预防和突发重大公共卫生事件应急教育，提高学生卫生应急素养。强化青少年近视、龋齿、肥胖等防控。到2025年，全市学生体质健康标准达标优良率达到60%左右，儿童青少年总体近视率力争每年降低1个百分点。（牵头部门：</w:t>
      </w:r>
      <w:r>
        <w:rPr>
          <w:rFonts w:hint="eastAsia" w:ascii="仿宋" w:hAnsi="仿宋" w:eastAsia="仿宋" w:cs="仿宋"/>
          <w:color w:val="auto"/>
          <w:sz w:val="32"/>
          <w:szCs w:val="32"/>
          <w:lang w:val="en-US" w:eastAsia="zh-CN"/>
        </w:rPr>
        <w:t>市教育局、市卫健委、市体育局；参与部门：各区市政府、管委）</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17.</w:t>
      </w:r>
      <w:r>
        <w:rPr>
          <w:rFonts w:hint="eastAsia" w:ascii="仿宋" w:hAnsi="仿宋" w:eastAsia="仿宋" w:cs="仿宋"/>
          <w:color w:val="auto"/>
          <w:kern w:val="0"/>
          <w:sz w:val="32"/>
          <w:szCs w:val="32"/>
        </w:rPr>
        <w:t>完善老年健康服务体系。实施积极应对人口老龄化国家战略，加强老年人疾病预防、筛查和干预，持续提升老年人健康素养。提高基层医疗卫生机构康复、护理床位占比，探索建立居家护理服务模式，持续推进居家医疗、互联网+护理服务试点，为老年人尤其是失能失智老人提供康复护理、长期照护等延续性服务。推进安宁疗护省级试点工作，探索建立安宁疗护工作机制，每个区市建成2个安宁疗护病区。持续实施“银龄安康工程”，推进邻里互助智慧健康养老工作，创建老年友善医疗机构和老年友好社区，切实增强老年人的获得感、幸福感、安全感。到2025年，建立健全</w:t>
      </w:r>
      <w:r>
        <w:rPr>
          <w:rFonts w:hint="eastAsia" w:ascii="仿宋" w:hAnsi="仿宋" w:eastAsia="仿宋" w:cs="仿宋"/>
          <w:color w:val="auto"/>
          <w:kern w:val="0"/>
          <w:sz w:val="32"/>
          <w:szCs w:val="32"/>
          <w:lang w:eastAsia="zh-CN"/>
        </w:rPr>
        <w:t>以</w:t>
      </w:r>
      <w:r>
        <w:rPr>
          <w:rFonts w:hint="eastAsia" w:ascii="仿宋" w:hAnsi="仿宋" w:eastAsia="仿宋" w:cs="仿宋"/>
          <w:color w:val="auto"/>
          <w:kern w:val="0"/>
          <w:sz w:val="32"/>
          <w:szCs w:val="32"/>
        </w:rPr>
        <w:t>健康教育、预防保健、疾病诊治、康复护理、长期照护、安宁疗护等</w:t>
      </w:r>
      <w:r>
        <w:rPr>
          <w:rFonts w:hint="eastAsia" w:ascii="仿宋" w:hAnsi="仿宋" w:eastAsia="仿宋" w:cs="仿宋"/>
          <w:color w:val="auto"/>
          <w:kern w:val="0"/>
          <w:sz w:val="32"/>
          <w:szCs w:val="32"/>
          <w:lang w:eastAsia="zh-CN"/>
        </w:rPr>
        <w:t>为主的</w:t>
      </w:r>
      <w:r>
        <w:rPr>
          <w:rFonts w:hint="eastAsia" w:ascii="仿宋" w:hAnsi="仿宋" w:eastAsia="仿宋" w:cs="仿宋"/>
          <w:color w:val="auto"/>
          <w:kern w:val="0"/>
          <w:sz w:val="32"/>
          <w:szCs w:val="32"/>
        </w:rPr>
        <w:t>老年健康服务体系</w:t>
      </w:r>
      <w:r>
        <w:rPr>
          <w:rFonts w:hint="eastAsia" w:ascii="仿宋" w:hAnsi="仿宋" w:eastAsia="仿宋" w:cs="仿宋"/>
          <w:color w:val="auto"/>
          <w:kern w:val="0"/>
          <w:sz w:val="32"/>
          <w:szCs w:val="32"/>
          <w:lang w:eastAsia="zh-CN"/>
        </w:rPr>
        <w:t>，</w:t>
      </w:r>
      <w:r>
        <w:rPr>
          <w:rFonts w:hint="eastAsia" w:ascii="仿宋" w:hAnsi="仿宋" w:eastAsia="仿宋" w:cs="仿宋"/>
          <w:color w:val="auto"/>
          <w:sz w:val="32"/>
          <w:szCs w:val="32"/>
        </w:rPr>
        <w:t>全</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 xml:space="preserve">二级及以上综合医院规范设置老年医学科的比例达到 </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%。（牵头</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：市卫生健康委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参与部门：</w:t>
      </w:r>
      <w:r>
        <w:rPr>
          <w:rFonts w:hint="eastAsia" w:ascii="仿宋" w:hAnsi="仿宋" w:eastAsia="仿宋" w:cs="仿宋"/>
          <w:color w:val="auto"/>
          <w:sz w:val="32"/>
          <w:szCs w:val="32"/>
        </w:rPr>
        <w:t>市民政局、市工业和信息化局、市住房城乡建设局、市文化旅游局、市医保局，各区市政府、管委）</w:t>
      </w:r>
    </w:p>
    <w:p>
      <w:pPr>
        <w:ind w:firstLine="640" w:firstLineChars="200"/>
        <w:rPr>
          <w:rFonts w:hint="eastAsia" w:ascii="宋体" w:hAnsi="宋体" w:eastAsia="仿宋" w:cstheme="minorBidi"/>
          <w:color w:val="auto"/>
          <w:kern w:val="2"/>
          <w:sz w:val="32"/>
          <w:szCs w:val="32"/>
          <w:lang w:val="zh-CN" w:eastAsia="zh-CN" w:bidi="ar-SA"/>
        </w:rPr>
      </w:pPr>
      <w:r>
        <w:rPr>
          <w:rFonts w:hint="eastAsia" w:ascii="仿宋" w:hAnsi="仿宋" w:eastAsia="仿宋" w:cs="仿宋"/>
          <w:color w:val="auto"/>
          <w:sz w:val="32"/>
          <w:szCs w:val="32"/>
          <w:lang w:val="en-US" w:eastAsia="zh-CN"/>
        </w:rPr>
        <w:t>18.</w:t>
      </w:r>
      <w:r>
        <w:rPr>
          <w:rFonts w:hint="eastAsia" w:ascii="仿宋" w:hAnsi="仿宋" w:eastAsia="仿宋" w:cs="仿宋"/>
          <w:color w:val="auto"/>
          <w:kern w:val="0"/>
          <w:sz w:val="32"/>
          <w:szCs w:val="32"/>
          <w:lang w:val="en-US" w:eastAsia="zh-CN"/>
        </w:rPr>
        <w:t>加强职业健康保护。</w:t>
      </w:r>
      <w:r>
        <w:rPr>
          <w:rFonts w:hint="eastAsia" w:ascii="仿宋" w:hAnsi="仿宋" w:eastAsia="仿宋" w:cs="仿宋"/>
          <w:color w:val="auto"/>
          <w:kern w:val="0"/>
          <w:sz w:val="32"/>
          <w:szCs w:val="32"/>
          <w:lang w:val="zh-CN"/>
        </w:rPr>
        <w:t>用人单位</w:t>
      </w:r>
      <w:r>
        <w:rPr>
          <w:rFonts w:hint="eastAsia" w:ascii="仿宋" w:hAnsi="仿宋" w:eastAsia="仿宋" w:cs="仿宋"/>
          <w:color w:val="auto"/>
          <w:kern w:val="0"/>
          <w:sz w:val="32"/>
          <w:szCs w:val="32"/>
        </w:rPr>
        <w:t>落实</w:t>
      </w:r>
      <w:r>
        <w:rPr>
          <w:rFonts w:hint="eastAsia" w:ascii="仿宋" w:hAnsi="仿宋" w:eastAsia="仿宋" w:cs="仿宋"/>
          <w:color w:val="auto"/>
          <w:kern w:val="0"/>
          <w:sz w:val="32"/>
          <w:szCs w:val="32"/>
          <w:lang w:val="zh-CN"/>
        </w:rPr>
        <w:t>主体</w:t>
      </w:r>
      <w:r>
        <w:rPr>
          <w:rFonts w:hint="eastAsia" w:ascii="仿宋" w:hAnsi="仿宋" w:eastAsia="仿宋" w:cs="仿宋"/>
          <w:color w:val="auto"/>
          <w:kern w:val="0"/>
          <w:sz w:val="32"/>
          <w:szCs w:val="32"/>
        </w:rPr>
        <w:t>责任</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zh-CN"/>
        </w:rPr>
        <w:t>健全职业病防治管理体系，</w:t>
      </w:r>
      <w:r>
        <w:rPr>
          <w:rFonts w:hint="eastAsia" w:ascii="仿宋" w:hAnsi="仿宋" w:eastAsia="仿宋" w:cs="仿宋"/>
          <w:color w:val="auto"/>
          <w:kern w:val="0"/>
          <w:sz w:val="32"/>
          <w:szCs w:val="32"/>
          <w:lang w:val="en-US" w:eastAsia="zh-CN"/>
        </w:rPr>
        <w:t>按规定设置职业卫生管理机构；</w:t>
      </w:r>
      <w:r>
        <w:rPr>
          <w:rFonts w:hint="eastAsia" w:ascii="仿宋" w:hAnsi="仿宋" w:eastAsia="仿宋" w:cs="仿宋"/>
          <w:color w:val="auto"/>
          <w:kern w:val="0"/>
          <w:sz w:val="32"/>
          <w:szCs w:val="32"/>
        </w:rPr>
        <w:t>开展</w:t>
      </w:r>
      <w:r>
        <w:rPr>
          <w:rFonts w:hint="eastAsia" w:ascii="仿宋" w:hAnsi="仿宋" w:eastAsia="仿宋" w:cs="仿宋"/>
          <w:color w:val="auto"/>
          <w:kern w:val="0"/>
          <w:sz w:val="32"/>
          <w:szCs w:val="32"/>
          <w:lang w:val="zh-CN"/>
        </w:rPr>
        <w:t>职业病危害项目申报工作，</w:t>
      </w:r>
      <w:r>
        <w:rPr>
          <w:rFonts w:hint="eastAsia" w:ascii="仿宋" w:hAnsi="仿宋" w:eastAsia="仿宋" w:cs="仿宋"/>
          <w:color w:val="auto"/>
          <w:kern w:val="0"/>
          <w:sz w:val="32"/>
          <w:szCs w:val="32"/>
          <w:lang w:val="zh-CN" w:eastAsia="zh-CN"/>
        </w:rPr>
        <w:t>及时、如实按规定向所在地卫生行政部门申报危害项目，接受监督</w:t>
      </w:r>
      <w:r>
        <w:rPr>
          <w:rFonts w:hint="eastAsia" w:ascii="仿宋" w:hAnsi="仿宋" w:eastAsia="仿宋" w:cs="仿宋"/>
          <w:color w:val="auto"/>
          <w:kern w:val="0"/>
          <w:sz w:val="32"/>
          <w:szCs w:val="32"/>
          <w:lang w:val="zh-CN"/>
        </w:rPr>
        <w:t>；</w:t>
      </w:r>
      <w:r>
        <w:rPr>
          <w:rFonts w:hint="eastAsia" w:ascii="仿宋" w:hAnsi="仿宋" w:eastAsia="仿宋" w:cs="仿宋"/>
          <w:color w:val="auto"/>
          <w:kern w:val="0"/>
          <w:sz w:val="32"/>
          <w:szCs w:val="32"/>
          <w:lang w:val="zh-CN" w:eastAsia="zh-CN"/>
        </w:rPr>
        <w:t>按有关规定主动落实工作场所职业病危害因素日常监测和定期检测与评价；对本单位劳动者进行岗前和在岗期间定期职业卫生培训和提升应急处置能力培训；在已报告尘肺病患者和新发尘肺病患者相对集中的区市开展尘肺病防治成果提升行动；建立对尘肺病发病用人单位分级管控机制</w:t>
      </w:r>
      <w:r>
        <w:rPr>
          <w:rFonts w:hint="eastAsia" w:ascii="宋体" w:hAnsi="宋体" w:eastAsia="仿宋" w:cstheme="minorBidi"/>
          <w:color w:val="auto"/>
          <w:kern w:val="2"/>
          <w:sz w:val="32"/>
          <w:szCs w:val="32"/>
          <w:lang w:val="zh-CN" w:eastAsia="zh-CN" w:bidi="ar-SA"/>
        </w:rPr>
        <w:t>，建立对接尘工龄不足5年的劳动者新发尘肺病例所在的企业进行重点监控；提升尘肺病等职业病诊治康复能力，加强救治救助社会保障。</w:t>
      </w:r>
      <w:r>
        <w:rPr>
          <w:rFonts w:hint="eastAsia" w:ascii="宋体" w:hAnsi="宋体" w:eastAsia="仿宋_GB2312" w:cs="仿宋_GB2312"/>
          <w:bCs/>
          <w:color w:val="auto"/>
          <w:kern w:val="0"/>
          <w:sz w:val="32"/>
        </w:rPr>
        <w:t>到2025年</w:t>
      </w:r>
      <w:r>
        <w:rPr>
          <w:rFonts w:ascii="宋体" w:hAnsi="宋体" w:eastAsia="仿宋_GB2312" w:cs="仿宋_GB2312"/>
          <w:bCs/>
          <w:color w:val="auto"/>
          <w:kern w:val="0"/>
          <w:sz w:val="32"/>
        </w:rPr>
        <w:t>，</w:t>
      </w:r>
      <w:r>
        <w:rPr>
          <w:rFonts w:hint="eastAsia" w:ascii="宋体" w:hAnsi="宋体" w:eastAsia="仿宋_GB2312" w:cs="仿宋_GB2312"/>
          <w:bCs/>
          <w:color w:val="auto"/>
          <w:kern w:val="0"/>
          <w:sz w:val="32"/>
        </w:rPr>
        <w:t>工作</w:t>
      </w:r>
      <w:r>
        <w:rPr>
          <w:rFonts w:ascii="宋体" w:hAnsi="宋体" w:eastAsia="仿宋_GB2312" w:cs="仿宋_GB2312"/>
          <w:bCs/>
          <w:color w:val="auto"/>
          <w:kern w:val="0"/>
          <w:sz w:val="32"/>
        </w:rPr>
        <w:t>场所</w:t>
      </w:r>
      <w:r>
        <w:rPr>
          <w:rFonts w:hint="eastAsia" w:ascii="宋体" w:hAnsi="宋体" w:eastAsia="仿宋_GB2312" w:cs="仿宋_GB2312"/>
          <w:bCs/>
          <w:color w:val="auto"/>
          <w:kern w:val="0"/>
          <w:sz w:val="32"/>
        </w:rPr>
        <w:t>职业病</w:t>
      </w:r>
      <w:r>
        <w:rPr>
          <w:rFonts w:ascii="宋体" w:hAnsi="宋体" w:eastAsia="仿宋_GB2312" w:cs="仿宋_GB2312"/>
          <w:bCs/>
          <w:color w:val="auto"/>
          <w:kern w:val="0"/>
          <w:sz w:val="32"/>
        </w:rPr>
        <w:t>危害监测因素监测合格率</w:t>
      </w:r>
      <w:r>
        <w:rPr>
          <w:rFonts w:hint="eastAsia" w:ascii="宋体" w:hAnsi="宋体" w:eastAsia="仿宋_GB2312" w:cs="仿宋_GB2312"/>
          <w:bCs/>
          <w:color w:val="auto"/>
          <w:kern w:val="0"/>
          <w:sz w:val="32"/>
        </w:rPr>
        <w:t>达到85</w:t>
      </w:r>
      <w:r>
        <w:rPr>
          <w:rFonts w:ascii="宋体" w:hAnsi="宋体" w:eastAsia="仿宋_GB2312" w:cs="仿宋_GB2312"/>
          <w:bCs/>
          <w:color w:val="auto"/>
          <w:kern w:val="0"/>
          <w:sz w:val="32"/>
        </w:rPr>
        <w:t>%</w:t>
      </w:r>
      <w:r>
        <w:rPr>
          <w:rFonts w:hint="eastAsia" w:ascii="宋体" w:hAnsi="宋体" w:eastAsia="仿宋_GB2312" w:cs="仿宋_GB2312"/>
          <w:bCs/>
          <w:color w:val="auto"/>
          <w:kern w:val="0"/>
          <w:sz w:val="32"/>
        </w:rPr>
        <w:t>以上</w:t>
      </w:r>
      <w:r>
        <w:rPr>
          <w:rFonts w:hint="eastAsia" w:ascii="宋体" w:hAnsi="宋体" w:eastAsia="仿宋" w:cstheme="minorBidi"/>
          <w:color w:val="auto"/>
          <w:kern w:val="2"/>
          <w:sz w:val="32"/>
          <w:szCs w:val="32"/>
          <w:lang w:val="zh-CN" w:eastAsia="zh-CN" w:bidi="ar-SA"/>
        </w:rPr>
        <w:t>。（牵头部门：市卫生健康委；</w:t>
      </w:r>
      <w:r>
        <w:rPr>
          <w:rFonts w:hint="eastAsia" w:ascii="宋体" w:hAnsi="宋体" w:eastAsia="仿宋" w:cstheme="minorBidi"/>
          <w:color w:val="auto"/>
          <w:kern w:val="2"/>
          <w:sz w:val="32"/>
          <w:szCs w:val="32"/>
          <w:lang w:val="en-US" w:eastAsia="zh-CN" w:bidi="ar-SA"/>
        </w:rPr>
        <w:t>参与部门：</w:t>
      </w:r>
      <w:r>
        <w:rPr>
          <w:rFonts w:hint="eastAsia" w:ascii="宋体" w:hAnsi="宋体" w:eastAsia="仿宋" w:cstheme="minorBidi"/>
          <w:color w:val="auto"/>
          <w:kern w:val="2"/>
          <w:sz w:val="32"/>
          <w:szCs w:val="32"/>
          <w:lang w:val="zh-CN" w:eastAsia="zh-CN" w:bidi="ar-SA"/>
        </w:rPr>
        <w:t>市发展改革委、市国资委、市工业信息化局、市财政局、市民政局、市人力资源社会保障局、市应急局、市总工会）</w:t>
      </w:r>
    </w:p>
    <w:p>
      <w:pPr>
        <w:spacing w:line="360" w:lineRule="auto"/>
        <w:ind w:firstLine="640" w:firstLineChars="200"/>
        <w:rPr>
          <w:rFonts w:hint="eastAsia" w:ascii="宋体" w:hAnsi="宋体" w:eastAsia="仿宋_GB2312" w:cs="仿宋_GB2312"/>
          <w:color w:val="auto"/>
          <w:kern w:val="0"/>
          <w:sz w:val="32"/>
          <w:szCs w:val="32"/>
        </w:rPr>
      </w:pPr>
      <w:r>
        <w:rPr>
          <w:rFonts w:hint="eastAsia" w:ascii="仿宋" w:hAnsi="仿宋" w:eastAsia="仿宋" w:cs="仿宋"/>
          <w:color w:val="auto"/>
          <w:kern w:val="0"/>
          <w:sz w:val="32"/>
          <w:szCs w:val="32"/>
          <w:lang w:val="en-US" w:eastAsia="zh-CN"/>
        </w:rPr>
        <w:t>19.加强特殊人群卫生服务。认真落实乡村振兴战略，严格落实“四不摘”要求，保持过渡期内健康扶贫主要政策总体稳定，持续推进巩固提升健康扶贫成果。优化疾病分类救治，持续做好脱贫人口家庭医生签</w:t>
      </w:r>
      <w:r>
        <w:rPr>
          <w:rFonts w:ascii="仿宋_GB2312" w:hAnsi="仿宋_GB2312" w:eastAsia="仿宋_GB2312"/>
          <w:color w:val="auto"/>
          <w:sz w:val="32"/>
        </w:rPr>
        <w:t>约服务</w:t>
      </w:r>
      <w:r>
        <w:rPr>
          <w:rFonts w:hint="eastAsia" w:ascii="仿宋_GB2312" w:hAnsi="仿宋_GB2312" w:eastAsia="仿宋_GB2312"/>
          <w:color w:val="auto"/>
          <w:sz w:val="32"/>
        </w:rPr>
        <w:t>。</w:t>
      </w:r>
      <w:r>
        <w:rPr>
          <w:rFonts w:ascii="仿宋_GB2312" w:hAnsi="仿宋_GB2312" w:eastAsia="仿宋_GB2312"/>
          <w:color w:val="auto"/>
          <w:sz w:val="32"/>
        </w:rPr>
        <w:t>加强与民政、医保、扶贫（乡村振兴）等部门</w:t>
      </w:r>
      <w:r>
        <w:rPr>
          <w:rFonts w:hint="eastAsia" w:ascii="仿宋_GB2312" w:hAnsi="仿宋_GB2312" w:eastAsia="仿宋_GB2312"/>
          <w:color w:val="auto"/>
          <w:sz w:val="32"/>
        </w:rPr>
        <w:t>协调</w:t>
      </w:r>
      <w:r>
        <w:rPr>
          <w:rFonts w:ascii="仿宋_GB2312" w:hAnsi="仿宋_GB2312" w:eastAsia="仿宋_GB2312"/>
          <w:color w:val="auto"/>
          <w:sz w:val="32"/>
        </w:rPr>
        <w:t>配合，联合建立健全因病易返贫致贫风险人群监测预警和精准帮扶机制，</w:t>
      </w:r>
      <w:r>
        <w:rPr>
          <w:rFonts w:ascii="宋体" w:hAnsi="宋体" w:eastAsia="仿宋_GB2312" w:cs="仿宋_GB2312"/>
          <w:color w:val="auto"/>
          <w:kern w:val="0"/>
          <w:sz w:val="32"/>
          <w:szCs w:val="32"/>
        </w:rPr>
        <w:t>通过</w:t>
      </w:r>
      <w:r>
        <w:rPr>
          <w:rFonts w:hint="eastAsia" w:ascii="宋体" w:hAnsi="宋体" w:eastAsia="仿宋_GB2312" w:cs="仿宋_GB2312"/>
          <w:color w:val="auto"/>
          <w:kern w:val="0"/>
          <w:sz w:val="32"/>
          <w:szCs w:val="32"/>
        </w:rPr>
        <w:t>加强</w:t>
      </w:r>
      <w:r>
        <w:rPr>
          <w:rFonts w:ascii="宋体" w:hAnsi="宋体" w:eastAsia="仿宋_GB2312" w:cs="仿宋_GB2312"/>
          <w:color w:val="auto"/>
          <w:kern w:val="0"/>
          <w:sz w:val="32"/>
          <w:szCs w:val="32"/>
        </w:rPr>
        <w:t>人才培养、对口支援等形式，</w:t>
      </w:r>
      <w:r>
        <w:rPr>
          <w:rFonts w:hint="eastAsia" w:ascii="宋体" w:hAnsi="宋体" w:eastAsia="仿宋_GB2312" w:cs="仿宋_GB2312"/>
          <w:color w:val="auto"/>
          <w:kern w:val="0"/>
          <w:sz w:val="32"/>
          <w:szCs w:val="32"/>
        </w:rPr>
        <w:t>提高贫困</w:t>
      </w:r>
      <w:r>
        <w:rPr>
          <w:rFonts w:ascii="宋体" w:hAnsi="宋体" w:eastAsia="仿宋_GB2312" w:cs="仿宋_GB2312"/>
          <w:color w:val="auto"/>
          <w:kern w:val="0"/>
          <w:sz w:val="32"/>
          <w:szCs w:val="32"/>
        </w:rPr>
        <w:t>地区</w:t>
      </w:r>
      <w:r>
        <w:rPr>
          <w:rFonts w:hint="eastAsia" w:ascii="宋体" w:hAnsi="宋体" w:eastAsia="仿宋_GB2312" w:cs="仿宋_GB2312"/>
          <w:color w:val="auto"/>
          <w:kern w:val="0"/>
          <w:sz w:val="32"/>
          <w:szCs w:val="32"/>
        </w:rPr>
        <w:t>医疗</w:t>
      </w:r>
      <w:r>
        <w:rPr>
          <w:rFonts w:ascii="宋体" w:hAnsi="宋体" w:eastAsia="仿宋_GB2312" w:cs="仿宋_GB2312"/>
          <w:color w:val="auto"/>
          <w:kern w:val="0"/>
          <w:sz w:val="32"/>
          <w:szCs w:val="32"/>
        </w:rPr>
        <w:t>卫生服务水平，</w:t>
      </w:r>
      <w:r>
        <w:rPr>
          <w:rFonts w:hint="eastAsia" w:ascii="宋体" w:hAnsi="宋体" w:eastAsia="仿宋_GB2312" w:cs="仿宋_GB2312"/>
          <w:color w:val="auto"/>
          <w:kern w:val="0"/>
          <w:sz w:val="32"/>
          <w:szCs w:val="32"/>
        </w:rPr>
        <w:t>整合基本</w:t>
      </w:r>
      <w:r>
        <w:rPr>
          <w:rFonts w:ascii="宋体" w:hAnsi="宋体" w:eastAsia="仿宋_GB2312" w:cs="仿宋_GB2312"/>
          <w:color w:val="auto"/>
          <w:kern w:val="0"/>
          <w:sz w:val="32"/>
          <w:szCs w:val="32"/>
        </w:rPr>
        <w:t>医保</w:t>
      </w:r>
      <w:r>
        <w:rPr>
          <w:rFonts w:hint="eastAsia" w:ascii="宋体" w:hAnsi="宋体" w:eastAsia="仿宋_GB2312" w:cs="仿宋_GB2312"/>
          <w:color w:val="auto"/>
          <w:kern w:val="0"/>
          <w:sz w:val="32"/>
          <w:szCs w:val="32"/>
        </w:rPr>
        <w:t>、</w:t>
      </w:r>
      <w:r>
        <w:rPr>
          <w:rFonts w:ascii="宋体" w:hAnsi="宋体" w:eastAsia="仿宋_GB2312" w:cs="仿宋_GB2312"/>
          <w:color w:val="auto"/>
          <w:kern w:val="0"/>
          <w:sz w:val="32"/>
          <w:szCs w:val="32"/>
        </w:rPr>
        <w:t>大病保险、医疗救助、慈善救助资源，对患者实施一站式救助</w:t>
      </w:r>
      <w:r>
        <w:rPr>
          <w:rFonts w:hint="eastAsia" w:ascii="宋体" w:hAnsi="宋体" w:eastAsia="仿宋_GB2312" w:cs="仿宋_GB2312"/>
          <w:color w:val="auto"/>
          <w:kern w:val="0"/>
          <w:sz w:val="32"/>
          <w:szCs w:val="32"/>
        </w:rPr>
        <w:t>。</w:t>
      </w:r>
      <w:r>
        <w:rPr>
          <w:rFonts w:ascii="宋体" w:hAnsi="宋体" w:eastAsia="仿宋_GB2312" w:cs="仿宋_GB2312"/>
          <w:color w:val="auto"/>
          <w:kern w:val="0"/>
          <w:sz w:val="32"/>
          <w:szCs w:val="32"/>
        </w:rPr>
        <w:t>实施减少残疾行动，开展全人群、全生命周期的残疾预防。进一步完善残疾人康复服务体系，加强残疾人康复和托养设施建设。进一步完善残疾儿童抢救性治疗和康复救助制度。进一步加强辅助器具推广和适配服务，建立残疾人基本型辅助器具适配补贴制度。</w:t>
      </w:r>
      <w:r>
        <w:rPr>
          <w:rFonts w:hint="default" w:ascii="宋体" w:hAnsi="宋体" w:eastAsia="仿宋_GB2312" w:cs="仿宋_GB2312"/>
          <w:color w:val="auto"/>
          <w:kern w:val="0"/>
          <w:sz w:val="32"/>
          <w:szCs w:val="32"/>
        </w:rPr>
        <w:t>对全面两孩政策调整前的独生子女家庭和农村计划生育双女家庭，继续实行现行各项奖励扶助制度和优惠政策。建立健全计划生育特殊家庭全方位帮扶保障制度，完善政府主导、社会组织参与的扶助关怀工作机制，维护好计划生育家庭合法权益</w:t>
      </w:r>
      <w:r>
        <w:rPr>
          <w:rFonts w:hint="eastAsia" w:ascii="宋体" w:hAnsi="宋体" w:eastAsia="仿宋_GB2312" w:cs="仿宋_GB2312"/>
          <w:color w:val="auto"/>
          <w:kern w:val="0"/>
          <w:sz w:val="32"/>
          <w:szCs w:val="32"/>
          <w:lang w:eastAsia="zh-CN"/>
        </w:rPr>
        <w:t>。</w:t>
      </w:r>
      <w:r>
        <w:rPr>
          <w:rFonts w:hint="eastAsia" w:ascii="宋体" w:hAnsi="宋体" w:eastAsia="仿宋_GB2312" w:cs="仿宋_GB2312"/>
          <w:color w:val="auto"/>
          <w:kern w:val="0"/>
          <w:sz w:val="32"/>
          <w:szCs w:val="32"/>
        </w:rPr>
        <w:t>（牵头</w:t>
      </w:r>
      <w:r>
        <w:rPr>
          <w:rFonts w:hint="default" w:ascii="宋体" w:hAnsi="宋体" w:eastAsia="仿宋_GB2312" w:cs="仿宋_GB2312"/>
          <w:color w:val="auto"/>
          <w:kern w:val="0"/>
          <w:sz w:val="32"/>
          <w:szCs w:val="32"/>
        </w:rPr>
        <w:t>部门：</w:t>
      </w:r>
      <w:r>
        <w:rPr>
          <w:rFonts w:hint="eastAsia" w:ascii="宋体" w:hAnsi="宋体" w:eastAsia="仿宋_GB2312" w:cs="仿宋_GB2312"/>
          <w:color w:val="auto"/>
          <w:kern w:val="0"/>
          <w:sz w:val="32"/>
          <w:szCs w:val="32"/>
          <w:lang w:eastAsia="zh-CN"/>
        </w:rPr>
        <w:t>市</w:t>
      </w:r>
      <w:r>
        <w:rPr>
          <w:rFonts w:hint="eastAsia" w:ascii="宋体" w:hAnsi="宋体" w:eastAsia="仿宋_GB2312" w:cs="仿宋_GB2312"/>
          <w:color w:val="auto"/>
          <w:kern w:val="0"/>
          <w:sz w:val="32"/>
          <w:szCs w:val="32"/>
        </w:rPr>
        <w:t>卫生</w:t>
      </w:r>
      <w:r>
        <w:rPr>
          <w:rFonts w:hint="default" w:ascii="宋体" w:hAnsi="宋体" w:eastAsia="仿宋_GB2312" w:cs="仿宋_GB2312"/>
          <w:color w:val="auto"/>
          <w:kern w:val="0"/>
          <w:sz w:val="32"/>
          <w:szCs w:val="32"/>
        </w:rPr>
        <w:t>健康委</w:t>
      </w:r>
      <w:r>
        <w:rPr>
          <w:rFonts w:hint="eastAsia" w:ascii="宋体" w:hAnsi="宋体" w:eastAsia="仿宋_GB2312" w:cs="仿宋_GB2312"/>
          <w:color w:val="auto"/>
          <w:kern w:val="0"/>
          <w:sz w:val="32"/>
          <w:szCs w:val="32"/>
          <w:lang w:eastAsia="zh-CN"/>
        </w:rPr>
        <w:t>；</w:t>
      </w:r>
      <w:r>
        <w:rPr>
          <w:rFonts w:hint="eastAsia" w:ascii="宋体" w:hAnsi="宋体" w:eastAsia="仿宋_GB2312" w:cs="仿宋_GB2312"/>
          <w:color w:val="auto"/>
          <w:kern w:val="0"/>
          <w:sz w:val="32"/>
          <w:szCs w:val="32"/>
          <w:lang w:val="en-US" w:eastAsia="zh-CN"/>
        </w:rPr>
        <w:t>参与部门：</w:t>
      </w:r>
      <w:r>
        <w:rPr>
          <w:rFonts w:hint="eastAsia" w:ascii="宋体" w:hAnsi="宋体" w:eastAsia="仿宋_GB2312" w:cs="仿宋_GB2312"/>
          <w:color w:val="auto"/>
          <w:kern w:val="0"/>
          <w:sz w:val="32"/>
          <w:szCs w:val="32"/>
          <w:lang w:eastAsia="zh-CN"/>
        </w:rPr>
        <w:t>市</w:t>
      </w:r>
      <w:r>
        <w:rPr>
          <w:rFonts w:hint="default" w:ascii="宋体" w:hAnsi="宋体" w:eastAsia="仿宋_GB2312" w:cs="仿宋_GB2312"/>
          <w:color w:val="auto"/>
          <w:kern w:val="0"/>
          <w:sz w:val="32"/>
          <w:szCs w:val="32"/>
        </w:rPr>
        <w:t>民政</w:t>
      </w:r>
      <w:r>
        <w:rPr>
          <w:rFonts w:hint="eastAsia" w:ascii="宋体" w:hAnsi="宋体" w:eastAsia="仿宋_GB2312" w:cs="仿宋_GB2312"/>
          <w:color w:val="auto"/>
          <w:kern w:val="0"/>
          <w:sz w:val="32"/>
          <w:szCs w:val="32"/>
          <w:lang w:eastAsia="zh-CN"/>
        </w:rPr>
        <w:t>局</w:t>
      </w:r>
      <w:r>
        <w:rPr>
          <w:rFonts w:hint="default" w:ascii="宋体" w:hAnsi="宋体" w:eastAsia="仿宋_GB2312" w:cs="仿宋_GB2312"/>
          <w:color w:val="auto"/>
          <w:kern w:val="0"/>
          <w:sz w:val="32"/>
          <w:szCs w:val="32"/>
        </w:rPr>
        <w:t>、</w:t>
      </w:r>
      <w:r>
        <w:rPr>
          <w:rFonts w:hint="eastAsia" w:ascii="宋体" w:hAnsi="宋体" w:eastAsia="仿宋_GB2312" w:cs="仿宋_GB2312"/>
          <w:color w:val="auto"/>
          <w:kern w:val="0"/>
          <w:sz w:val="32"/>
          <w:szCs w:val="32"/>
          <w:lang w:eastAsia="zh-CN"/>
        </w:rPr>
        <w:t>市</w:t>
      </w:r>
      <w:r>
        <w:rPr>
          <w:rFonts w:hint="default" w:ascii="宋体" w:hAnsi="宋体" w:eastAsia="仿宋_GB2312" w:cs="仿宋_GB2312"/>
          <w:color w:val="auto"/>
          <w:kern w:val="0"/>
          <w:sz w:val="32"/>
          <w:szCs w:val="32"/>
        </w:rPr>
        <w:t>残联、</w:t>
      </w:r>
      <w:r>
        <w:rPr>
          <w:rFonts w:hint="eastAsia" w:ascii="宋体" w:hAnsi="宋体" w:eastAsia="仿宋_GB2312" w:cs="仿宋_GB2312"/>
          <w:color w:val="auto"/>
          <w:kern w:val="0"/>
          <w:sz w:val="32"/>
          <w:szCs w:val="32"/>
          <w:lang w:eastAsia="zh-CN"/>
        </w:rPr>
        <w:t>市</w:t>
      </w:r>
      <w:r>
        <w:rPr>
          <w:rFonts w:hint="default" w:ascii="宋体" w:hAnsi="宋体" w:eastAsia="仿宋_GB2312" w:cs="仿宋_GB2312"/>
          <w:color w:val="auto"/>
          <w:kern w:val="0"/>
          <w:sz w:val="32"/>
          <w:szCs w:val="32"/>
        </w:rPr>
        <w:t>医保局</w:t>
      </w:r>
      <w:r>
        <w:rPr>
          <w:rFonts w:hint="eastAsia" w:ascii="宋体" w:hAnsi="宋体" w:eastAsia="仿宋_GB2312" w:cs="仿宋_GB2312"/>
          <w:color w:val="auto"/>
          <w:kern w:val="0"/>
          <w:sz w:val="32"/>
          <w:szCs w:val="32"/>
        </w:rPr>
        <w:t>、</w:t>
      </w:r>
      <w:r>
        <w:rPr>
          <w:rFonts w:hint="eastAsia" w:ascii="宋体" w:hAnsi="宋体" w:eastAsia="仿宋_GB2312" w:cs="仿宋_GB2312"/>
          <w:color w:val="auto"/>
          <w:kern w:val="0"/>
          <w:sz w:val="32"/>
          <w:szCs w:val="32"/>
          <w:lang w:eastAsia="zh-CN"/>
        </w:rPr>
        <w:t>市</w:t>
      </w:r>
      <w:r>
        <w:rPr>
          <w:rFonts w:hint="default" w:ascii="宋体" w:hAnsi="宋体" w:eastAsia="仿宋_GB2312" w:cs="仿宋_GB2312"/>
          <w:color w:val="auto"/>
          <w:kern w:val="0"/>
          <w:sz w:val="32"/>
          <w:szCs w:val="32"/>
        </w:rPr>
        <w:t>乡村振兴局</w:t>
      </w:r>
      <w:r>
        <w:rPr>
          <w:rFonts w:hint="eastAsia" w:ascii="宋体" w:hAnsi="宋体" w:eastAsia="仿宋_GB2312" w:cs="仿宋_GB2312"/>
          <w:color w:val="auto"/>
          <w:kern w:val="0"/>
          <w:sz w:val="32"/>
          <w:szCs w:val="32"/>
          <w:lang w:eastAsia="zh-CN"/>
        </w:rPr>
        <w:t>、</w:t>
      </w:r>
      <w:r>
        <w:rPr>
          <w:rFonts w:hint="eastAsia" w:ascii="宋体" w:hAnsi="宋体" w:eastAsia="仿宋_GB2312" w:cs="仿宋_GB2312"/>
          <w:color w:val="auto"/>
          <w:kern w:val="0"/>
          <w:sz w:val="32"/>
          <w:szCs w:val="32"/>
        </w:rPr>
        <w:t>各区市政府、管委）</w:t>
      </w:r>
    </w:p>
    <w:p>
      <w:pPr>
        <w:spacing w:after="78" w:afterLines="25" w:line="360" w:lineRule="auto"/>
        <w:jc w:val="center"/>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专栏</w:t>
      </w:r>
      <w:r>
        <w:rPr>
          <w:rFonts w:hint="eastAsia" w:ascii="仿宋" w:hAnsi="仿宋" w:eastAsia="仿宋" w:cs="仿宋"/>
          <w:b/>
          <w:bCs/>
          <w:color w:val="auto"/>
          <w:sz w:val="32"/>
          <w:szCs w:val="32"/>
          <w:lang w:val="en-US" w:eastAsia="zh-CN"/>
        </w:rPr>
        <w:t xml:space="preserve">3 </w:t>
      </w:r>
      <w:r>
        <w:rPr>
          <w:rFonts w:hint="eastAsia" w:ascii="仿宋" w:hAnsi="仿宋" w:eastAsia="仿宋" w:cs="仿宋"/>
          <w:b/>
          <w:bCs/>
          <w:color w:val="auto"/>
          <w:sz w:val="32"/>
          <w:szCs w:val="32"/>
          <w:lang w:eastAsia="zh-CN"/>
        </w:rPr>
        <w:t>全生命周期健康保障项目</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老年健康服务体系：</w:t>
            </w:r>
            <w:r>
              <w:rPr>
                <w:rFonts w:hint="eastAsia" w:ascii="仿宋" w:hAnsi="仿宋" w:eastAsia="仿宋" w:cs="仿宋"/>
                <w:color w:val="auto"/>
                <w:sz w:val="32"/>
                <w:szCs w:val="32"/>
              </w:rPr>
              <w:t>强化老年医学、康复医学学科建设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全</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二级及以上综合医院规范设置老年医学科的比例达到</w:t>
            </w:r>
            <w:r>
              <w:rPr>
                <w:rFonts w:hint="eastAsia" w:ascii="仿宋" w:hAnsi="仿宋" w:eastAsia="仿宋" w:cs="仿宋"/>
                <w:color w:val="FF0000"/>
                <w:sz w:val="32"/>
                <w:szCs w:val="32"/>
              </w:rPr>
              <w:t xml:space="preserve"> </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r>
              <w:rPr>
                <w:rFonts w:hint="eastAsia" w:ascii="仿宋" w:hAnsi="仿宋" w:eastAsia="仿宋" w:cs="仿宋"/>
                <w:color w:val="auto"/>
                <w:kern w:val="0"/>
                <w:sz w:val="32"/>
                <w:szCs w:val="32"/>
              </w:rPr>
              <w:t>推进安宁疗护省级试点工作，探索建立安宁疗护工作机制，每个区市建成2个安宁疗护病区。</w:t>
            </w:r>
          </w:p>
          <w:p>
            <w:pPr>
              <w:spacing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婴幼儿照护服务体系</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完善</w:t>
            </w:r>
            <w:r>
              <w:rPr>
                <w:rFonts w:hint="eastAsia" w:ascii="仿宋" w:hAnsi="仿宋" w:eastAsia="仿宋" w:cs="仿宋"/>
                <w:color w:val="auto"/>
                <w:sz w:val="32"/>
                <w:szCs w:val="32"/>
                <w:lang w:eastAsia="zh-CN"/>
              </w:rPr>
              <w:t>落实</w:t>
            </w:r>
            <w:r>
              <w:rPr>
                <w:rFonts w:hint="eastAsia" w:ascii="仿宋" w:hAnsi="仿宋" w:eastAsia="仿宋" w:cs="仿宋"/>
                <w:color w:val="auto"/>
                <w:sz w:val="32"/>
                <w:szCs w:val="32"/>
              </w:rPr>
              <w:t xml:space="preserve"> 3 岁以下婴幼儿照护服务政策制度，建立健全以家庭为基础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社区为依托</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机构为补充的婴幼儿照护服务体系。二级以上医院全面配置标准母婴室，推进流动母婴室建设。</w:t>
            </w:r>
          </w:p>
        </w:tc>
      </w:tr>
    </w:tbl>
    <w:p>
      <w:pPr>
        <w:spacing w:line="360" w:lineRule="auto"/>
        <w:ind w:firstLine="640" w:firstLineChars="200"/>
        <w:rPr>
          <w:rFonts w:hint="default" w:ascii="楷体" w:hAnsi="楷体" w:eastAsia="楷体" w:cs="宋体"/>
          <w:color w:val="auto"/>
          <w:kern w:val="0"/>
          <w:sz w:val="32"/>
          <w:szCs w:val="32"/>
          <w:lang w:val="en-US" w:eastAsia="zh-CN"/>
        </w:rPr>
      </w:pPr>
    </w:p>
    <w:p>
      <w:pPr>
        <w:pStyle w:val="3"/>
        <w:bidi w:val="0"/>
        <w:ind w:firstLine="643" w:firstLineChars="200"/>
        <w:rPr>
          <w:rFonts w:hint="eastAsia" w:ascii="楷体" w:hAnsi="楷体" w:eastAsia="楷体" w:cs="楷体"/>
          <w:sz w:val="32"/>
          <w:szCs w:val="32"/>
        </w:rPr>
      </w:pPr>
      <w:bookmarkStart w:id="11" w:name="_Toc27125"/>
      <w:r>
        <w:rPr>
          <w:rFonts w:hint="eastAsia" w:ascii="楷体" w:hAnsi="楷体" w:eastAsia="楷体" w:cs="楷体"/>
          <w:sz w:val="32"/>
          <w:szCs w:val="32"/>
        </w:rPr>
        <w:t>（</w:t>
      </w:r>
      <w:r>
        <w:rPr>
          <w:rFonts w:hint="eastAsia" w:ascii="楷体" w:hAnsi="楷体" w:eastAsia="楷体" w:cs="楷体"/>
          <w:sz w:val="32"/>
          <w:szCs w:val="32"/>
          <w:lang w:eastAsia="zh-CN"/>
        </w:rPr>
        <w:t>四</w:t>
      </w:r>
      <w:r>
        <w:rPr>
          <w:rFonts w:hint="eastAsia" w:ascii="楷体" w:hAnsi="楷体" w:eastAsia="楷体" w:cs="楷体"/>
          <w:sz w:val="32"/>
          <w:szCs w:val="32"/>
        </w:rPr>
        <w:t>）</w:t>
      </w:r>
      <w:r>
        <w:rPr>
          <w:rFonts w:hint="eastAsia" w:ascii="楷体" w:hAnsi="楷体" w:eastAsia="楷体" w:cs="楷体"/>
          <w:sz w:val="32"/>
          <w:szCs w:val="32"/>
          <w:lang w:eastAsia="zh-CN"/>
        </w:rPr>
        <w:t>推进</w:t>
      </w:r>
      <w:r>
        <w:rPr>
          <w:rFonts w:hint="eastAsia" w:ascii="楷体" w:hAnsi="楷体" w:eastAsia="楷体" w:cs="楷体"/>
          <w:sz w:val="32"/>
          <w:szCs w:val="32"/>
        </w:rPr>
        <w:t>医疗资源</w:t>
      </w:r>
      <w:r>
        <w:rPr>
          <w:rFonts w:hint="eastAsia" w:ascii="楷体" w:hAnsi="楷体" w:eastAsia="楷体" w:cs="楷体"/>
          <w:sz w:val="32"/>
          <w:szCs w:val="32"/>
          <w:lang w:eastAsia="zh-CN"/>
        </w:rPr>
        <w:t>提质</w:t>
      </w:r>
      <w:r>
        <w:rPr>
          <w:rFonts w:hint="eastAsia" w:ascii="楷体" w:hAnsi="楷体" w:eastAsia="楷体" w:cs="楷体"/>
          <w:sz w:val="32"/>
          <w:szCs w:val="32"/>
        </w:rPr>
        <w:t>扩容和区域均衡布局</w:t>
      </w:r>
      <w:bookmarkEnd w:id="11"/>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w:t>
      </w:r>
      <w:r>
        <w:rPr>
          <w:rFonts w:hint="eastAsia" w:ascii="仿宋" w:hAnsi="仿宋" w:eastAsia="仿宋" w:cs="仿宋"/>
          <w:sz w:val="32"/>
          <w:szCs w:val="32"/>
        </w:rPr>
        <w:t>.</w:t>
      </w:r>
      <w:r>
        <w:rPr>
          <w:rFonts w:hint="eastAsia" w:ascii="仿宋" w:hAnsi="仿宋" w:eastAsia="仿宋" w:cs="仿宋"/>
          <w:color w:val="auto"/>
          <w:sz w:val="32"/>
          <w:szCs w:val="32"/>
        </w:rPr>
        <w:t>进一步优化医疗资源配置。推进医疗资源共享和优质资源</w:t>
      </w:r>
      <w:r>
        <w:rPr>
          <w:rFonts w:hint="eastAsia" w:ascii="仿宋" w:hAnsi="仿宋" w:eastAsia="仿宋" w:cs="仿宋"/>
          <w:color w:val="auto"/>
          <w:sz w:val="32"/>
          <w:szCs w:val="32"/>
          <w:lang w:val="en-US" w:eastAsia="zh-CN"/>
        </w:rPr>
        <w:t>扩容</w:t>
      </w:r>
      <w:r>
        <w:rPr>
          <w:rFonts w:hint="eastAsia" w:ascii="仿宋" w:hAnsi="仿宋" w:eastAsia="仿宋" w:cs="仿宋"/>
          <w:color w:val="auto"/>
          <w:sz w:val="32"/>
          <w:szCs w:val="32"/>
        </w:rPr>
        <w:t>下沉，扩大医疗服务供给，落实医疗机构公共卫生责任。加强公立医院建设，扩大市中医医院规模，</w:t>
      </w:r>
      <w:r>
        <w:rPr>
          <w:rFonts w:hint="eastAsia" w:ascii="仿宋" w:hAnsi="仿宋" w:eastAsia="仿宋" w:cs="仿宋"/>
          <w:color w:val="auto"/>
          <w:sz w:val="32"/>
          <w:szCs w:val="32"/>
          <w:lang w:eastAsia="zh-CN"/>
        </w:rPr>
        <w:t>谋划建设高水平传染病医院</w:t>
      </w:r>
      <w:r>
        <w:rPr>
          <w:rFonts w:hint="eastAsia" w:ascii="仿宋" w:hAnsi="仿宋" w:eastAsia="仿宋" w:cs="仿宋"/>
          <w:color w:val="auto"/>
          <w:sz w:val="32"/>
          <w:szCs w:val="32"/>
        </w:rPr>
        <w:t>，建设市妇幼保健</w:t>
      </w:r>
      <w:r>
        <w:rPr>
          <w:rFonts w:hint="eastAsia" w:ascii="仿宋" w:hAnsi="仿宋" w:eastAsia="仿宋" w:cs="仿宋"/>
          <w:color w:val="auto"/>
          <w:sz w:val="32"/>
          <w:szCs w:val="32"/>
          <w:lang w:eastAsia="zh-CN"/>
        </w:rPr>
        <w:t>综合楼、</w:t>
      </w:r>
      <w:r>
        <w:rPr>
          <w:rFonts w:hint="eastAsia" w:ascii="仿宋" w:hAnsi="仿宋" w:eastAsia="仿宋" w:cs="仿宋"/>
          <w:color w:val="auto"/>
          <w:sz w:val="32"/>
          <w:szCs w:val="32"/>
          <w:lang w:val="en-US" w:eastAsia="zh-CN"/>
        </w:rPr>
        <w:t>毓璜顶医院开发区院区</w:t>
      </w:r>
      <w:r>
        <w:rPr>
          <w:rFonts w:hint="eastAsia" w:ascii="仿宋" w:hAnsi="仿宋" w:eastAsia="仿宋" w:cs="仿宋"/>
          <w:color w:val="auto"/>
          <w:sz w:val="32"/>
          <w:szCs w:val="32"/>
        </w:rPr>
        <w:t>。新建烟台卫生健康职业学院。支持社会办医，落实非营利性社会办医院和公立医院同等待遇，支持社会办医院与公立医院开展医疗业务、学科建设、人才培养等合作。鼓励</w:t>
      </w:r>
      <w:r>
        <w:rPr>
          <w:rFonts w:hint="eastAsia" w:ascii="仿宋" w:hAnsi="仿宋" w:eastAsia="仿宋" w:cs="仿宋"/>
          <w:color w:val="auto"/>
          <w:sz w:val="32"/>
          <w:szCs w:val="32"/>
          <w:lang w:val="en-US" w:eastAsia="zh-CN"/>
        </w:rPr>
        <w:t>符合条件的</w:t>
      </w:r>
      <w:r>
        <w:rPr>
          <w:rFonts w:hint="eastAsia" w:ascii="仿宋" w:hAnsi="仿宋" w:eastAsia="仿宋" w:cs="仿宋"/>
          <w:color w:val="auto"/>
          <w:sz w:val="32"/>
          <w:szCs w:val="32"/>
        </w:rPr>
        <w:t>执</w:t>
      </w:r>
      <w:r>
        <w:rPr>
          <w:rFonts w:hint="eastAsia" w:ascii="仿宋" w:hAnsi="仿宋" w:eastAsia="仿宋" w:cs="仿宋"/>
          <w:sz w:val="32"/>
          <w:szCs w:val="32"/>
        </w:rPr>
        <w:t>业医师开办诊所</w:t>
      </w:r>
      <w:r>
        <w:rPr>
          <w:rFonts w:hint="eastAsia" w:ascii="仿宋" w:hAnsi="仿宋" w:eastAsia="仿宋" w:cs="仿宋"/>
          <w:sz w:val="32"/>
          <w:szCs w:val="32"/>
          <w:highlight w:val="none"/>
        </w:rPr>
        <w:t>。加强基层医疗卫生服务机构建设，配齐配强人才队伍，筑牢村级服务网底。</w:t>
      </w:r>
      <w:r>
        <w:rPr>
          <w:rFonts w:hint="eastAsia" w:ascii="仿宋" w:hAnsi="仿宋" w:eastAsia="仿宋" w:cs="仿宋"/>
          <w:sz w:val="32"/>
          <w:szCs w:val="32"/>
        </w:rPr>
        <w:t>稳步扩大城乡家庭医生签约服务覆盖范</w:t>
      </w:r>
      <w:r>
        <w:rPr>
          <w:rFonts w:hint="eastAsia" w:ascii="仿宋" w:hAnsi="仿宋" w:eastAsia="仿宋" w:cs="仿宋"/>
          <w:color w:val="auto"/>
          <w:sz w:val="32"/>
          <w:szCs w:val="32"/>
        </w:rPr>
        <w:t>围，提高签约服务质量。到2025年，初步建成体系完整、布局合理、分工明确、功能互补、密切协作、运行高效、富有韧性的优质高效整合型医疗卫生服务体系</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（牵头</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：市卫生健康委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参与部门：</w:t>
      </w:r>
      <w:r>
        <w:rPr>
          <w:rFonts w:hint="eastAsia" w:ascii="仿宋" w:hAnsi="仿宋" w:eastAsia="仿宋" w:cs="仿宋"/>
          <w:color w:val="auto"/>
          <w:sz w:val="32"/>
          <w:szCs w:val="32"/>
        </w:rPr>
        <w:t>市发展改革委、市人力资源社会保障局、市住房城乡建设局、市医保局、市科技局</w:t>
      </w:r>
      <w:r>
        <w:rPr>
          <w:rFonts w:hint="eastAsia" w:ascii="仿宋" w:hAnsi="仿宋" w:eastAsia="仿宋" w:cs="仿宋"/>
          <w:sz w:val="32"/>
          <w:szCs w:val="32"/>
        </w:rPr>
        <w:t>、市教育局）</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sz w:val="32"/>
          <w:szCs w:val="32"/>
          <w:lang w:val="en-US" w:eastAsia="zh-CN"/>
        </w:rPr>
        <w:t>21</w:t>
      </w:r>
      <w:r>
        <w:rPr>
          <w:rFonts w:hint="eastAsia" w:ascii="仿宋" w:hAnsi="仿宋" w:eastAsia="仿宋" w:cs="仿宋"/>
          <w:sz w:val="32"/>
          <w:szCs w:val="32"/>
        </w:rPr>
        <w:t>.扎实推进区域医疗中心建设。充分发挥烟台毓璜顶医院作为省级综合区域医疗中心的优势，加强临床重点专业和专科建设，引进和培养高端技术人才，医疗技术水平逐渐达到国内先进水</w:t>
      </w:r>
      <w:r>
        <w:rPr>
          <w:rFonts w:hint="eastAsia" w:ascii="仿宋" w:hAnsi="仿宋" w:eastAsia="仿宋" w:cs="仿宋"/>
          <w:color w:val="auto"/>
          <w:sz w:val="32"/>
          <w:szCs w:val="32"/>
        </w:rPr>
        <w:t>平。</w:t>
      </w:r>
      <w:r>
        <w:rPr>
          <w:rFonts w:hint="eastAsia" w:ascii="仿宋" w:hAnsi="仿宋" w:eastAsia="仿宋" w:cs="仿宋"/>
          <w:color w:val="auto"/>
          <w:sz w:val="32"/>
          <w:szCs w:val="32"/>
          <w:lang w:val="en-US" w:eastAsia="zh-CN"/>
        </w:rPr>
        <w:t>支持</w:t>
      </w:r>
      <w:r>
        <w:rPr>
          <w:rFonts w:hint="eastAsia" w:ascii="仿宋" w:hAnsi="仿宋" w:eastAsia="仿宋" w:cs="仿宋"/>
          <w:color w:val="auto"/>
          <w:sz w:val="32"/>
          <w:szCs w:val="32"/>
        </w:rPr>
        <w:t>烟台山医院、</w:t>
      </w:r>
      <w:r>
        <w:rPr>
          <w:rFonts w:hint="eastAsia" w:ascii="仿宋" w:hAnsi="仿宋" w:eastAsia="仿宋" w:cs="仿宋"/>
          <w:color w:val="auto"/>
          <w:sz w:val="32"/>
          <w:szCs w:val="32"/>
          <w:lang w:eastAsia="zh-CN"/>
        </w:rPr>
        <w:t>莱阳中心医院、</w:t>
      </w:r>
      <w:r>
        <w:rPr>
          <w:rFonts w:hint="eastAsia" w:ascii="仿宋" w:hAnsi="仿宋" w:eastAsia="仿宋" w:cs="仿宋"/>
          <w:color w:val="auto"/>
          <w:sz w:val="32"/>
          <w:szCs w:val="32"/>
          <w:lang w:val="en-US" w:eastAsia="zh-CN"/>
        </w:rPr>
        <w:t>市</w:t>
      </w:r>
      <w:r>
        <w:rPr>
          <w:rFonts w:hint="eastAsia" w:ascii="仿宋" w:hAnsi="仿宋" w:eastAsia="仿宋" w:cs="仿宋"/>
          <w:color w:val="auto"/>
          <w:sz w:val="32"/>
          <w:szCs w:val="32"/>
        </w:rPr>
        <w:t>奇山医院、市心理康复医院、市口腔医院等三级医院进一步强化特色优势，争创省级专科区域医疗中心。积极主动与国际国内高水平医疗机构嫁接，借助其资本、品牌、技术、人才队伍等方面优势，打造综合实力国内前列，技术、服务和管理与国际接轨的医疗中心。加大重点学科建设和发展的支持力度，国际肿瘤医学中心一期建成投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毓璜顶医院耳鼻咽喉科争创国家级重点专科；全市新创建5个省级重点专科，省级重点专科总数达到</w:t>
      </w:r>
      <w:r>
        <w:rPr>
          <w:rFonts w:hint="eastAsia" w:ascii="仿宋" w:hAnsi="仿宋" w:eastAsia="仿宋" w:cs="仿宋"/>
          <w:color w:val="auto"/>
          <w:sz w:val="32"/>
          <w:szCs w:val="32"/>
          <w:lang w:val="en-US" w:eastAsia="zh-CN"/>
        </w:rPr>
        <w:t>40</w:t>
      </w:r>
      <w:r>
        <w:rPr>
          <w:rFonts w:hint="eastAsia" w:ascii="仿宋" w:hAnsi="仿宋" w:eastAsia="仿宋" w:cs="仿宋"/>
          <w:color w:val="auto"/>
          <w:sz w:val="32"/>
          <w:szCs w:val="32"/>
        </w:rPr>
        <w:t>个；市级重点专科数量达到150个。（牵头</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：市卫生健康委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参与部门：</w:t>
      </w:r>
      <w:r>
        <w:rPr>
          <w:rFonts w:hint="eastAsia" w:ascii="仿宋" w:hAnsi="仿宋" w:eastAsia="仿宋" w:cs="仿宋"/>
          <w:color w:val="auto"/>
          <w:sz w:val="32"/>
          <w:szCs w:val="32"/>
        </w:rPr>
        <w:t>市人力资源社会保障局、市科技局、市医保局）</w:t>
      </w:r>
    </w:p>
    <w:p>
      <w:pPr>
        <w:keepNext w:val="0"/>
        <w:keepLines w:val="0"/>
        <w:widowControl/>
        <w:suppressLineNumbers w:val="0"/>
        <w:ind w:firstLine="640" w:firstLineChars="200"/>
        <w:jc w:val="left"/>
        <w:rPr>
          <w:rFonts w:hint="eastAsia" w:ascii="仿宋" w:hAnsi="仿宋" w:eastAsia="仿宋" w:cs="仿宋"/>
          <w:color w:val="auto"/>
          <w:sz w:val="32"/>
          <w:szCs w:val="32"/>
        </w:rPr>
      </w:pPr>
      <w:r>
        <w:rPr>
          <w:rFonts w:hint="eastAsia" w:ascii="仿宋" w:hAnsi="仿宋" w:eastAsia="仿宋" w:cs="仿宋"/>
          <w:bCs/>
          <w:color w:val="auto"/>
          <w:sz w:val="32"/>
          <w:lang w:val="en-US" w:eastAsia="zh-CN"/>
        </w:rPr>
        <w:t>22.</w:t>
      </w:r>
      <w:r>
        <w:rPr>
          <w:rFonts w:hint="eastAsia" w:ascii="仿宋" w:hAnsi="仿宋" w:eastAsia="仿宋" w:cs="仿宋"/>
          <w:bCs/>
          <w:color w:val="auto"/>
          <w:sz w:val="32"/>
        </w:rPr>
        <w:t>持续提升</w:t>
      </w:r>
      <w:r>
        <w:rPr>
          <w:rFonts w:hint="eastAsia" w:ascii="仿宋" w:hAnsi="仿宋" w:eastAsia="仿宋" w:cs="仿宋"/>
          <w:bCs/>
          <w:color w:val="auto"/>
          <w:sz w:val="32"/>
          <w:lang w:eastAsia="zh-CN"/>
        </w:rPr>
        <w:t>县</w:t>
      </w:r>
      <w:r>
        <w:rPr>
          <w:rFonts w:hint="eastAsia" w:ascii="仿宋" w:hAnsi="仿宋" w:eastAsia="仿宋" w:cs="仿宋"/>
          <w:bCs/>
          <w:color w:val="auto"/>
          <w:sz w:val="32"/>
        </w:rPr>
        <w:t>级医院服务能力。</w:t>
      </w:r>
      <w:r>
        <w:rPr>
          <w:rFonts w:hint="eastAsia" w:ascii="仿宋_GB2312" w:hAnsi="宋体" w:eastAsia="仿宋_GB2312" w:cs="宋体"/>
          <w:bCs/>
          <w:color w:val="auto"/>
          <w:sz w:val="32"/>
        </w:rPr>
        <w:t>强化县域龙头和城乡纽带作用，合理提高并积极落实建设和设施设备标准，加强医院内涵建设，强化硬件提升、人员配备、专科建设，进一步提升综合服务能力，</w:t>
      </w:r>
      <w:r>
        <w:rPr>
          <w:rFonts w:ascii="仿宋_GB2312" w:hAnsi="宋体" w:eastAsia="仿宋_GB2312" w:cs="宋体"/>
          <w:bCs/>
          <w:color w:val="auto"/>
          <w:sz w:val="32"/>
        </w:rPr>
        <w:t>到</w:t>
      </w:r>
      <w:r>
        <w:rPr>
          <w:rFonts w:hint="eastAsia" w:ascii="仿宋_GB2312" w:hAnsi="宋体" w:eastAsia="仿宋_GB2312" w:cs="宋体"/>
          <w:bCs/>
          <w:color w:val="auto"/>
          <w:sz w:val="32"/>
        </w:rPr>
        <w:t>2025年，</w:t>
      </w:r>
      <w:r>
        <w:rPr>
          <w:rFonts w:hint="eastAsia" w:ascii="Times New Roman" w:hAnsi="Times New Roman" w:eastAsia="仿宋_GB2312"/>
          <w:color w:val="auto"/>
          <w:sz w:val="32"/>
          <w:szCs w:val="32"/>
          <w:lang w:eastAsia="zh-CN"/>
        </w:rPr>
        <w:t>县级</w:t>
      </w:r>
      <w:r>
        <w:rPr>
          <w:rFonts w:hint="eastAsia" w:ascii="Times New Roman" w:hAnsi="Times New Roman" w:eastAsia="仿宋_GB2312"/>
          <w:color w:val="auto"/>
          <w:sz w:val="32"/>
          <w:szCs w:val="32"/>
        </w:rPr>
        <w:t>综合医院、中医医院达到国家医疗</w:t>
      </w:r>
      <w:r>
        <w:rPr>
          <w:rFonts w:ascii="Times New Roman" w:hAnsi="Times New Roman" w:eastAsia="仿宋_GB2312"/>
          <w:color w:val="auto"/>
          <w:sz w:val="32"/>
          <w:szCs w:val="32"/>
        </w:rPr>
        <w:t>服务能力</w:t>
      </w:r>
      <w:r>
        <w:rPr>
          <w:rFonts w:hint="eastAsia" w:ascii="Times New Roman" w:hAnsi="Times New Roman" w:eastAsia="仿宋_GB2312"/>
          <w:color w:val="auto"/>
          <w:sz w:val="32"/>
          <w:szCs w:val="32"/>
        </w:rPr>
        <w:t>推荐标准占比</w:t>
      </w:r>
      <w:r>
        <w:rPr>
          <w:rFonts w:ascii="Times New Roman" w:hAnsi="Times New Roman" w:eastAsia="仿宋_GB2312"/>
          <w:color w:val="auto"/>
          <w:sz w:val="32"/>
          <w:szCs w:val="32"/>
        </w:rPr>
        <w:t>分别不低于100</w:t>
      </w:r>
      <w:r>
        <w:rPr>
          <w:rFonts w:hint="eastAsia" w:ascii="Times New Roman" w:hAnsi="Times New Roman" w:eastAsia="仿宋_GB2312"/>
          <w:color w:val="auto"/>
          <w:sz w:val="32"/>
          <w:szCs w:val="32"/>
        </w:rPr>
        <w:t>%、</w:t>
      </w:r>
      <w:r>
        <w:rPr>
          <w:rFonts w:ascii="Times New Roman" w:hAnsi="Times New Roman" w:eastAsia="仿宋_GB2312"/>
          <w:color w:val="auto"/>
          <w:sz w:val="32"/>
          <w:szCs w:val="32"/>
        </w:rPr>
        <w:t>70</w:t>
      </w:r>
      <w:r>
        <w:rPr>
          <w:rFonts w:hint="eastAsia" w:ascii="Times New Roman" w:hAnsi="Times New Roman" w:eastAsia="仿宋_GB2312"/>
          <w:color w:val="auto"/>
          <w:sz w:val="32"/>
          <w:szCs w:val="32"/>
        </w:rPr>
        <w:t>%。</w:t>
      </w:r>
      <w:r>
        <w:rPr>
          <w:rFonts w:hint="eastAsia" w:ascii="仿宋_GB2312" w:hAnsi="宋体" w:eastAsia="仿宋_GB2312" w:cs="宋体"/>
          <w:bCs/>
          <w:color w:val="auto"/>
          <w:sz w:val="32"/>
        </w:rPr>
        <w:t>针对重点病种，强化“外引内联”，加强与省市医院、县域内专科医院等机构在学科、人才、技术和管理等方面的合作，提高医疗服务质量和技术水平。做实做细城乡医院对口支援，加强派驻人员管理，开展整体成效评估，带动提升县域整体服务能力。</w:t>
      </w:r>
      <w:r>
        <w:rPr>
          <w:rFonts w:hint="eastAsia" w:ascii="仿宋" w:hAnsi="仿宋" w:eastAsia="仿宋" w:cs="仿宋"/>
          <w:color w:val="auto"/>
          <w:sz w:val="32"/>
          <w:szCs w:val="32"/>
        </w:rPr>
        <w:t>（牵头</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：市卫生健康委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参与部门：</w:t>
      </w:r>
      <w:r>
        <w:rPr>
          <w:rFonts w:hint="eastAsia" w:ascii="仿宋" w:hAnsi="仿宋" w:eastAsia="仿宋" w:cs="仿宋"/>
          <w:color w:val="auto"/>
          <w:sz w:val="32"/>
          <w:szCs w:val="32"/>
        </w:rPr>
        <w:t>市</w:t>
      </w:r>
      <w:r>
        <w:rPr>
          <w:rFonts w:hint="eastAsia" w:ascii="仿宋" w:hAnsi="仿宋" w:eastAsia="仿宋" w:cs="仿宋"/>
          <w:color w:val="auto"/>
          <w:sz w:val="32"/>
          <w:szCs w:val="32"/>
          <w:lang w:eastAsia="zh-CN"/>
        </w:rPr>
        <w:t>发展改革委</w:t>
      </w:r>
      <w:r>
        <w:rPr>
          <w:rFonts w:hint="eastAsia" w:ascii="仿宋" w:hAnsi="仿宋" w:eastAsia="仿宋" w:cs="仿宋"/>
          <w:color w:val="auto"/>
          <w:sz w:val="32"/>
          <w:szCs w:val="32"/>
        </w:rPr>
        <w:t>、市</w:t>
      </w:r>
      <w:r>
        <w:rPr>
          <w:rFonts w:hint="eastAsia" w:ascii="仿宋" w:hAnsi="仿宋" w:eastAsia="仿宋" w:cs="仿宋"/>
          <w:color w:val="auto"/>
          <w:sz w:val="32"/>
          <w:szCs w:val="32"/>
          <w:lang w:eastAsia="zh-CN"/>
        </w:rPr>
        <w:t>财政</w:t>
      </w:r>
      <w:r>
        <w:rPr>
          <w:rFonts w:hint="eastAsia" w:ascii="仿宋" w:hAnsi="仿宋" w:eastAsia="仿宋" w:cs="仿宋"/>
          <w:color w:val="auto"/>
          <w:sz w:val="32"/>
          <w:szCs w:val="32"/>
        </w:rPr>
        <w:t>局、</w:t>
      </w:r>
      <w:r>
        <w:rPr>
          <w:rFonts w:hint="eastAsia" w:ascii="仿宋" w:hAnsi="仿宋" w:eastAsia="仿宋" w:cs="仿宋"/>
          <w:color w:val="auto"/>
          <w:sz w:val="32"/>
          <w:szCs w:val="32"/>
          <w:lang w:eastAsia="zh-CN"/>
        </w:rPr>
        <w:t>各区市政府、管委</w:t>
      </w:r>
      <w:r>
        <w:rPr>
          <w:rFonts w:hint="eastAsia" w:ascii="仿宋" w:hAnsi="仿宋" w:eastAsia="仿宋" w:cs="仿宋"/>
          <w:color w:val="auto"/>
          <w:sz w:val="32"/>
          <w:szCs w:val="32"/>
        </w:rPr>
        <w:t>）</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.提升基层卫生服务能力。</w:t>
      </w:r>
      <w:r>
        <w:rPr>
          <w:rFonts w:hint="eastAsia" w:ascii="仿宋" w:hAnsi="仿宋" w:eastAsia="仿宋" w:cs="仿宋"/>
          <w:bCs/>
          <w:color w:val="auto"/>
          <w:sz w:val="32"/>
          <w:szCs w:val="32"/>
          <w:highlight w:val="none"/>
        </w:rPr>
        <w:t>乡镇卫生院、社区卫生服务中心</w:t>
      </w:r>
      <w:r>
        <w:rPr>
          <w:rFonts w:hint="eastAsia" w:ascii="仿宋" w:hAnsi="仿宋" w:eastAsia="仿宋" w:cs="仿宋"/>
          <w:bCs/>
          <w:color w:val="auto"/>
          <w:sz w:val="32"/>
          <w:szCs w:val="32"/>
          <w:highlight w:val="none"/>
          <w:lang w:val="en-US" w:eastAsia="zh-CN"/>
        </w:rPr>
        <w:t>建设</w:t>
      </w:r>
      <w:r>
        <w:rPr>
          <w:rFonts w:hint="eastAsia" w:ascii="仿宋" w:hAnsi="仿宋" w:eastAsia="仿宋" w:cs="仿宋"/>
          <w:bCs/>
          <w:color w:val="auto"/>
          <w:sz w:val="32"/>
          <w:szCs w:val="32"/>
          <w:highlight w:val="none"/>
        </w:rPr>
        <w:t>全部达到国家基本标准，达到省提升标准和国家推荐标准占比分别不低于70%、20%，</w:t>
      </w:r>
      <w:r>
        <w:rPr>
          <w:rFonts w:hint="eastAsia" w:ascii="仿宋" w:hAnsi="仿宋" w:eastAsia="仿宋" w:cs="仿宋"/>
          <w:color w:val="auto"/>
          <w:sz w:val="32"/>
          <w:szCs w:val="32"/>
          <w:highlight w:val="none"/>
        </w:rPr>
        <w:t>实现乡镇卫生院等级评价全覆盖</w:t>
      </w:r>
      <w:r>
        <w:rPr>
          <w:rFonts w:hint="eastAsia" w:ascii="仿宋" w:hAnsi="仿宋" w:eastAsia="仿宋" w:cs="仿宋"/>
          <w:color w:val="auto"/>
          <w:sz w:val="32"/>
          <w:szCs w:val="32"/>
          <w:highlight w:val="none"/>
          <w:lang w:eastAsia="zh-CN"/>
        </w:rPr>
        <w:t>。</w:t>
      </w:r>
      <w:r>
        <w:rPr>
          <w:rFonts w:hint="eastAsia" w:ascii="仿宋" w:hAnsi="仿宋" w:eastAsia="仿宋" w:cs="仿宋"/>
          <w:bCs/>
          <w:color w:val="auto"/>
          <w:sz w:val="32"/>
          <w:szCs w:val="32"/>
          <w:highlight w:val="none"/>
        </w:rPr>
        <w:t>支持基层医疗卫生机构设施设备更新，重点配备DR、彩超、全自动生化分析仪以及与诊疗科目相匹配的其他设备。</w:t>
      </w:r>
      <w:r>
        <w:rPr>
          <w:rFonts w:hint="eastAsia" w:ascii="仿宋" w:hAnsi="仿宋" w:eastAsia="仿宋" w:cs="仿宋"/>
          <w:color w:val="auto"/>
          <w:sz w:val="32"/>
          <w:szCs w:val="32"/>
          <w:highlight w:val="none"/>
        </w:rPr>
        <w:t>全面加强基层卫生人才队伍建设，提高全科医生、家庭医生服务能力和水平，到2025年，基层门诊量占全市门诊总量的50%以上。完善“业务院长”机制，推动扶贫重点乡镇和薄弱乡镇卫生院人才队伍建设，带动基层医疗卫生机构新建</w:t>
      </w:r>
      <w:r>
        <w:rPr>
          <w:rFonts w:hint="eastAsia" w:ascii="仿宋" w:hAnsi="仿宋" w:eastAsia="仿宋" w:cs="仿宋"/>
          <w:bCs/>
          <w:color w:val="auto"/>
          <w:sz w:val="32"/>
          <w:szCs w:val="32"/>
          <w:highlight w:val="none"/>
        </w:rPr>
        <w:t>100个以上特色科室。完善乡村医生准入制度，积极推行“县招乡聘村用”制度，将村医队伍具备专科及以上学历或执业（助理）医师资格的比例提升到50%以上。</w:t>
      </w:r>
      <w:r>
        <w:rPr>
          <w:rFonts w:hint="eastAsia" w:ascii="仿宋" w:hAnsi="仿宋" w:eastAsia="仿宋" w:cs="仿宋"/>
          <w:color w:val="auto"/>
          <w:sz w:val="32"/>
          <w:szCs w:val="32"/>
          <w:highlight w:val="none"/>
        </w:rPr>
        <w:t>在每个乡镇办好1所政府办卫生院的基础上，县域面积大、交通不便捷的涉农区市，根据地域和人口分布，选择1所乡镇卫生院，将服务能力提升到二级医院标准，作为县域医疗服务次中心，构建农村地区30分钟重点疾病救治服务圈。积极推进村卫生室产权公有和紧密型乡村一体化管理，鼓励乡镇卫生院领办或延伸举办村卫生室。常住人口3万以上的城市街道，至少设置1所社区卫生服务中心。每个区市至少建成1家社区医院。新建或由卫生院转型的社区卫生服务中心参照社区医院标准建设。落实新建小区配套社区卫生服务用房政策，严格验收程序，保障机构业务用房。根据服务人口、服务半径、周边医疗资源配置等情况，合理增设社区卫生服务站，并实行社区卫生服务中心、站一体化管理。（牵头</w:t>
      </w:r>
      <w:r>
        <w:rPr>
          <w:rFonts w:hint="eastAsia" w:ascii="仿宋" w:hAnsi="仿宋" w:eastAsia="仿宋" w:cs="仿宋"/>
          <w:color w:val="auto"/>
          <w:sz w:val="32"/>
          <w:szCs w:val="32"/>
          <w:highlight w:val="none"/>
          <w:lang w:val="en-US" w:eastAsia="zh-CN"/>
        </w:rPr>
        <w:t>部门</w:t>
      </w:r>
      <w:r>
        <w:rPr>
          <w:rFonts w:hint="eastAsia" w:ascii="仿宋" w:hAnsi="仿宋" w:eastAsia="仿宋" w:cs="仿宋"/>
          <w:color w:val="auto"/>
          <w:sz w:val="32"/>
          <w:szCs w:val="32"/>
          <w:highlight w:val="none"/>
        </w:rPr>
        <w:t>：市卫生健康委</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参与部门：</w:t>
      </w:r>
      <w:r>
        <w:rPr>
          <w:rFonts w:hint="eastAsia" w:ascii="仿宋" w:hAnsi="仿宋" w:eastAsia="仿宋" w:cs="仿宋"/>
          <w:color w:val="auto"/>
          <w:sz w:val="32"/>
          <w:szCs w:val="32"/>
          <w:highlight w:val="none"/>
        </w:rPr>
        <w:t>市发展改革委、市人力资源社会保障局、市住房城乡建设局、市医保局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各区市政府、管委</w:t>
      </w:r>
      <w:r>
        <w:rPr>
          <w:rFonts w:hint="eastAsia" w:ascii="仿宋" w:hAnsi="仿宋" w:eastAsia="仿宋" w:cs="仿宋"/>
          <w:color w:val="auto"/>
          <w:sz w:val="32"/>
          <w:szCs w:val="32"/>
          <w:highlight w:val="none"/>
        </w:rPr>
        <w:t>）</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b w:val="0"/>
          <w:bCs w:val="0"/>
          <w:color w:val="auto"/>
          <w:sz w:val="32"/>
          <w:szCs w:val="32"/>
          <w:lang w:val="en-US" w:eastAsia="zh-CN"/>
        </w:rPr>
        <w:t>24.</w:t>
      </w:r>
      <w:r>
        <w:rPr>
          <w:rFonts w:hint="eastAsia" w:ascii="仿宋" w:hAnsi="仿宋" w:eastAsia="仿宋" w:cs="仿宋"/>
          <w:b w:val="0"/>
          <w:bCs w:val="0"/>
          <w:color w:val="auto"/>
          <w:sz w:val="32"/>
          <w:szCs w:val="32"/>
        </w:rPr>
        <w:t>加强急救体系建设</w:t>
      </w:r>
      <w:r>
        <w:rPr>
          <w:rFonts w:eastAsia="仿宋_GB2312" w:cs="仿宋_GB2312"/>
          <w:b w:val="0"/>
          <w:bCs w:val="0"/>
          <w:color w:val="auto"/>
          <w:sz w:val="32"/>
          <w:szCs w:val="32"/>
        </w:rPr>
        <w:t>。</w:t>
      </w:r>
      <w:r>
        <w:rPr>
          <w:rFonts w:hint="eastAsia" w:ascii="仿宋_GB2312" w:hAnsi="仿宋_GB2312" w:eastAsia="仿宋_GB2312" w:cs="仿宋_GB2312"/>
          <w:color w:val="auto"/>
          <w:sz w:val="32"/>
          <w:szCs w:val="32"/>
        </w:rPr>
        <w:t>建立完善政府主导、覆盖城乡、运行高效、服务优质的市、县（市、区）</w:t>
      </w:r>
      <w:r>
        <w:rPr>
          <w:rFonts w:hint="eastAsia" w:ascii="仿宋_GB2312" w:hAnsi="仿宋_GB2312" w:eastAsia="仿宋_GB2312" w:cs="仿宋_GB2312"/>
          <w:color w:val="auto"/>
          <w:sz w:val="32"/>
          <w:szCs w:val="32"/>
          <w:lang w:eastAsia="zh-CN"/>
        </w:rPr>
        <w:t>、乡三</w:t>
      </w:r>
      <w:r>
        <w:rPr>
          <w:rFonts w:hint="eastAsia" w:ascii="仿宋_GB2312" w:hAnsi="仿宋_GB2312" w:eastAsia="仿宋_GB2312" w:cs="仿宋_GB2312"/>
          <w:color w:val="auto"/>
          <w:sz w:val="32"/>
          <w:szCs w:val="32"/>
        </w:rPr>
        <w:t>级院前医疗急救服务体系，</w:t>
      </w:r>
      <w:r>
        <w:rPr>
          <w:rFonts w:hint="eastAsia" w:eastAsia="仿宋_GB2312" w:cs="仿宋_GB2312"/>
          <w:color w:val="auto"/>
          <w:sz w:val="32"/>
          <w:szCs w:val="32"/>
        </w:rPr>
        <w:t>探索建</w:t>
      </w:r>
      <w:r>
        <w:rPr>
          <w:rFonts w:hint="eastAsia" w:eastAsia="仿宋_GB2312" w:cs="仿宋_GB2312"/>
          <w:color w:val="000000" w:themeColor="text1"/>
          <w:sz w:val="32"/>
          <w:szCs w:val="32"/>
          <w14:textFill>
            <w14:solidFill>
              <w14:schemeClr w14:val="tx1"/>
            </w14:solidFill>
          </w14:textFill>
        </w:rPr>
        <w:t>立政府与医疗机构合理分担的投入机制。</w:t>
      </w:r>
      <w:r>
        <w:rPr>
          <w:rFonts w:hint="eastAsia" w:ascii="仿宋_GB2312" w:hAnsi="仿宋_GB2312" w:eastAsia="仿宋_GB2312" w:cs="仿宋_GB2312"/>
          <w:color w:val="000000" w:themeColor="text1"/>
          <w:sz w:val="32"/>
          <w:szCs w:val="32"/>
          <w14:textFill>
            <w14:solidFill>
              <w14:schemeClr w14:val="tx1"/>
            </w14:solidFill>
          </w14:textFill>
        </w:rPr>
        <w:t>结合服务半径、人口数量等因素，科学规划设置院前医疗急救站点，合理增加救护车数量，独立设置的急救中心（站）急救医师数量满足服务需求。加强院前医疗急救人员岗前培训和定期培训，在职称评审、薪酬分配方面向院前急救人员适当倾斜。</w:t>
      </w:r>
      <w:r>
        <w:rPr>
          <w:rFonts w:eastAsia="仿宋_GB2312" w:cs="仿宋_GB2312"/>
          <w:color w:val="000000" w:themeColor="text1"/>
          <w:sz w:val="32"/>
          <w:szCs w:val="32"/>
          <w14:textFill>
            <w14:solidFill>
              <w14:schemeClr w14:val="tx1"/>
            </w14:solidFill>
          </w14:textFill>
        </w:rPr>
        <w:t>加强院前急救与院内急诊的有序衔接，强化院前医疗服务质量控制管理</w:t>
      </w:r>
      <w:r>
        <w:rPr>
          <w:rFonts w:hint="eastAsia"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鼓励、支持社区卫生服务机构参与社会急救医疗服务。到2025年，120呼救电话10秒内接听比例达到95</w:t>
      </w:r>
      <w:r>
        <w:rPr>
          <w:rFonts w:hint="eastAsia" w:ascii="仿宋_GB2312" w:hAnsi="仿宋_GB2312" w:eastAsia="仿宋_GB2312" w:cs="仿宋_GB2312"/>
          <w:color w:val="auto"/>
          <w:sz w:val="32"/>
          <w:szCs w:val="32"/>
        </w:rPr>
        <w:t>%，3分钟出车率达到95%。</w:t>
      </w:r>
      <w:r>
        <w:rPr>
          <w:rFonts w:hint="eastAsia" w:ascii="楷体" w:hAnsi="楷体" w:eastAsia="楷体"/>
          <w:color w:val="auto"/>
          <w:sz w:val="32"/>
          <w:szCs w:val="32"/>
        </w:rPr>
        <w:t>（</w:t>
      </w:r>
      <w:r>
        <w:rPr>
          <w:rFonts w:hint="eastAsia" w:ascii="仿宋_GB2312" w:hAnsi="仿宋_GB2312" w:eastAsia="仿宋_GB2312" w:cs="仿宋_GB2312"/>
          <w:color w:val="auto"/>
          <w:sz w:val="32"/>
          <w:szCs w:val="32"/>
        </w:rPr>
        <w:t>牵头部门：</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卫生健康委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参与部门：</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发展改革委、</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教育</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科技</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人力资源社会保障</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财政</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加强医疗质量管理控制。进一步强化医疗机构院感防控，开展全员培训，加强重症医学科、新生儿科、血液透析室、老年病科、康复医学科等重点部位管理，坚决避免院内交叉感染和感染暴发。推动各级各类医院标准化建设，健全质控工作体系，强化医疗技术临床应用监管，促进临床合理用药，提升医疗质量安全水平。深入推进“改善医疗服务行动计划”，建立优质服务长效机制，切实改善群众看病就医体验。巩固平安医院建设成效，完善医疗纠纷处理体系，坚决打击医闹和伤医事件，依法维护医疗秩序及医务人员尊严和生命安全。（牵头</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：市卫生健康委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参与部门：</w:t>
      </w:r>
      <w:r>
        <w:rPr>
          <w:rFonts w:hint="eastAsia" w:ascii="仿宋" w:hAnsi="仿宋" w:eastAsia="仿宋" w:cs="仿宋"/>
          <w:color w:val="auto"/>
          <w:sz w:val="32"/>
          <w:szCs w:val="32"/>
        </w:rPr>
        <w:t>市医保局、市公安局）</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.积极发展智慧医疗。推进智慧医院建设，进一步优化“互联网+医疗健康”服务流程，搭建互联网信息平台，开</w:t>
      </w:r>
      <w:r>
        <w:rPr>
          <w:rFonts w:hint="eastAsia" w:ascii="仿宋" w:hAnsi="仿宋" w:eastAsia="仿宋" w:cs="仿宋"/>
          <w:color w:val="auto"/>
          <w:sz w:val="32"/>
          <w:szCs w:val="32"/>
          <w:lang w:eastAsia="zh-CN"/>
        </w:rPr>
        <w:t>展</w:t>
      </w:r>
      <w:r>
        <w:rPr>
          <w:rFonts w:hint="eastAsia" w:ascii="仿宋" w:hAnsi="仿宋" w:eastAsia="仿宋" w:cs="仿宋"/>
          <w:color w:val="auto"/>
          <w:sz w:val="32"/>
          <w:szCs w:val="32"/>
        </w:rPr>
        <w:t>远程医疗、健康咨询、健康管理服务。创新智慧医疗发展平台。建立“互联网+医疗健康”服务补偿机制，探索“互联网+医疗健康”价格及医保支付方式改革。（牵头</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：市卫生健康委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参与部门：</w:t>
      </w:r>
      <w:r>
        <w:rPr>
          <w:rFonts w:hint="eastAsia" w:ascii="仿宋" w:hAnsi="仿宋" w:eastAsia="仿宋" w:cs="仿宋"/>
          <w:color w:val="auto"/>
          <w:sz w:val="32"/>
          <w:szCs w:val="32"/>
        </w:rPr>
        <w:t>市医保局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市大数据局</w:t>
      </w:r>
      <w:r>
        <w:rPr>
          <w:rFonts w:hint="eastAsia" w:ascii="仿宋" w:hAnsi="仿宋" w:eastAsia="仿宋" w:cs="仿宋"/>
          <w:color w:val="auto"/>
          <w:sz w:val="32"/>
          <w:szCs w:val="32"/>
        </w:rPr>
        <w:t>）</w:t>
      </w:r>
    </w:p>
    <w:p>
      <w:pPr>
        <w:spacing w:after="78" w:afterLines="25"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专栏</w:t>
      </w:r>
      <w:r>
        <w:rPr>
          <w:rFonts w:hint="eastAsia" w:ascii="仿宋" w:hAnsi="仿宋" w:eastAsia="仿宋" w:cs="仿宋"/>
          <w:b/>
          <w:bCs/>
          <w:color w:val="auto"/>
          <w:sz w:val="32"/>
          <w:szCs w:val="32"/>
          <w:lang w:val="en-US" w:eastAsia="zh-CN"/>
        </w:rPr>
        <w:t xml:space="preserve">4 </w:t>
      </w:r>
      <w:r>
        <w:rPr>
          <w:rFonts w:hint="eastAsia" w:ascii="仿宋" w:hAnsi="仿宋" w:eastAsia="仿宋" w:cs="仿宋"/>
          <w:b/>
          <w:bCs/>
          <w:color w:val="auto"/>
          <w:sz w:val="32"/>
          <w:szCs w:val="32"/>
        </w:rPr>
        <w:t>医疗服务重点提升项目</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numPr>
                <w:ilvl w:val="255"/>
                <w:numId w:val="0"/>
              </w:numPr>
              <w:spacing w:line="360" w:lineRule="auto"/>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资源</w:t>
            </w:r>
            <w:r>
              <w:rPr>
                <w:rFonts w:hint="eastAsia" w:ascii="仿宋" w:hAnsi="仿宋" w:eastAsia="仿宋" w:cs="仿宋"/>
                <w:b/>
                <w:bCs/>
                <w:color w:val="auto"/>
                <w:sz w:val="32"/>
                <w:szCs w:val="32"/>
                <w:lang w:eastAsia="zh-CN"/>
              </w:rPr>
              <w:t>提质</w:t>
            </w:r>
            <w:r>
              <w:rPr>
                <w:rFonts w:hint="eastAsia" w:ascii="仿宋" w:hAnsi="仿宋" w:eastAsia="仿宋" w:cs="仿宋"/>
                <w:b/>
                <w:bCs/>
                <w:color w:val="auto"/>
                <w:sz w:val="32"/>
                <w:szCs w:val="32"/>
              </w:rPr>
              <w:t>扩容工程：</w:t>
            </w:r>
            <w:r>
              <w:rPr>
                <w:rFonts w:hint="eastAsia" w:ascii="仿宋" w:hAnsi="仿宋" w:eastAsia="仿宋" w:cs="仿宋"/>
                <w:color w:val="auto"/>
                <w:sz w:val="32"/>
                <w:szCs w:val="32"/>
              </w:rPr>
              <w:t>发挥烟台毓璜顶医院作为省级综合区域医疗中心的优势，负责区域内疑难疾病诊治、医疗科技创新、人才队伍建设等工作，承担突发公共卫生事件的医疗救治、技术支持等任务，加强对基层医疗机构对口支援，促进本地区专业水平的整体提高，缩小区域间医疗差距。</w:t>
            </w:r>
            <w:r>
              <w:rPr>
                <w:rFonts w:hint="eastAsia" w:ascii="仿宋" w:hAnsi="仿宋" w:eastAsia="仿宋" w:cs="仿宋"/>
                <w:color w:val="auto"/>
                <w:sz w:val="32"/>
                <w:szCs w:val="32"/>
                <w:lang w:eastAsia="zh-CN"/>
              </w:rPr>
              <w:t>谋划建设高水平传染病医院，</w:t>
            </w:r>
            <w:r>
              <w:rPr>
                <w:rFonts w:hint="eastAsia" w:ascii="仿宋" w:hAnsi="仿宋" w:eastAsia="仿宋" w:cs="仿宋"/>
                <w:color w:val="auto"/>
                <w:sz w:val="32"/>
                <w:szCs w:val="32"/>
              </w:rPr>
              <w:t>扩建烟台市中医医院，新建烟台市妇幼保健综合楼、烟台市心理康复医院</w:t>
            </w:r>
            <w:r>
              <w:rPr>
                <w:rFonts w:hint="eastAsia" w:ascii="仿宋" w:hAnsi="仿宋" w:eastAsia="仿宋" w:cs="仿宋"/>
                <w:color w:val="auto"/>
                <w:sz w:val="32"/>
                <w:szCs w:val="32"/>
                <w:lang w:val="en-US" w:eastAsia="zh-CN"/>
              </w:rPr>
              <w:t>莱山</w:t>
            </w:r>
            <w:r>
              <w:rPr>
                <w:rFonts w:hint="eastAsia" w:ascii="仿宋" w:hAnsi="仿宋" w:eastAsia="仿宋" w:cs="仿宋"/>
                <w:color w:val="auto"/>
                <w:sz w:val="32"/>
                <w:szCs w:val="32"/>
              </w:rPr>
              <w:t>院区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毓璜顶医院开发区院区</w:t>
            </w:r>
            <w:r>
              <w:rPr>
                <w:rFonts w:hint="eastAsia" w:ascii="仿宋" w:hAnsi="仿宋" w:eastAsia="仿宋" w:cs="仿宋"/>
                <w:color w:val="auto"/>
                <w:sz w:val="32"/>
                <w:szCs w:val="32"/>
              </w:rPr>
              <w:t>和烟台卫生健康职业学院。</w:t>
            </w:r>
          </w:p>
          <w:p>
            <w:pPr>
              <w:spacing w:line="360" w:lineRule="auto"/>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提升医疗服务质量和水平工程：</w:t>
            </w:r>
            <w:r>
              <w:rPr>
                <w:rFonts w:hint="eastAsia" w:ascii="仿宋" w:hAnsi="仿宋" w:eastAsia="仿宋" w:cs="仿宋"/>
                <w:color w:val="auto"/>
                <w:sz w:val="32"/>
                <w:szCs w:val="32"/>
              </w:rPr>
              <w:t>深入推进“改善医疗服务行动计划”，建立优质服务长效机制，开展“提升患者满意度”专项行动，切实改善群众看病就医体验。按照DRG试点工作的要求，重点分析疾病分组、权重、付费的机制，进一步提升病案首页上传数据的数量和质量，增加入组病例数，探索建立适合医院运营的DRG绩效考核制度。</w:t>
            </w:r>
          </w:p>
          <w:p>
            <w:pPr>
              <w:spacing w:line="360" w:lineRule="auto"/>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优化家庭医生签约服务：</w:t>
            </w:r>
            <w:r>
              <w:rPr>
                <w:rFonts w:hint="eastAsia" w:ascii="仿宋" w:hAnsi="仿宋" w:eastAsia="仿宋" w:cs="仿宋"/>
                <w:color w:val="auto"/>
                <w:sz w:val="32"/>
                <w:szCs w:val="32"/>
              </w:rPr>
              <w:t>完善家庭医生签约服务工作方案和绩效考核方案，收取的家庭医生签约服务包费用不纳入绩效工资总额，60%用于家庭医生团队绩效分配，与签约数量、有效签约、有效履约、服务效果挂钩，做到多劳多得，优绩优酬，更好地激励家庭医生团队的积极性。加强人才培养，探索委托高等医学院校实施全科医生“5+3”培养、“3+2”乡村医生定向培养项目，通过购买第三方服务方式配备家庭医生助理，充实家庭医生服务团队。优化家庭医生用药服务，试点扩大长处方药品目录范围。</w:t>
            </w:r>
          </w:p>
          <w:p>
            <w:pPr>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“互联网+医疗”创新工程：</w:t>
            </w:r>
            <w:r>
              <w:rPr>
                <w:rFonts w:hint="eastAsia" w:ascii="仿宋" w:hAnsi="仿宋" w:eastAsia="仿宋" w:cs="仿宋"/>
                <w:color w:val="auto"/>
                <w:sz w:val="32"/>
                <w:szCs w:val="32"/>
              </w:rPr>
              <w:t>打造网络医院、移动护理、医学影像远程诊断、健康教育、远程疾病管理等“互联网+医疗”创新平台。建立卫生信息分类编码标准化体系，实现对医疗卫生行业的床位、服务人员、服务对象、设施设备、药品、医用耗材等服务和监管要素的统一编码，一物一码。健全涵盖全员人口信息、居民电子健康档案、电子病历在内的健康大数据库，实施医疗、医药、医保数据中心联网，推动医疗卫生、社会医疗保险、药品监管等信息资源共享。</w:t>
            </w:r>
          </w:p>
        </w:tc>
      </w:tr>
    </w:tbl>
    <w:p>
      <w:pPr>
        <w:spacing w:line="360" w:lineRule="auto"/>
        <w:rPr>
          <w:rFonts w:hint="eastAsia" w:ascii="仿宋" w:hAnsi="仿宋" w:eastAsia="仿宋" w:cs="仿宋"/>
          <w:b/>
          <w:bCs/>
          <w:color w:val="auto"/>
          <w:sz w:val="32"/>
          <w:szCs w:val="32"/>
          <w:highlight w:val="none"/>
        </w:rPr>
      </w:pPr>
    </w:p>
    <w:p>
      <w:pPr>
        <w:pStyle w:val="3"/>
        <w:bidi w:val="0"/>
        <w:ind w:firstLine="643" w:firstLineChars="200"/>
        <w:rPr>
          <w:rFonts w:hint="eastAsia" w:ascii="楷体" w:hAnsi="楷体" w:eastAsia="楷体" w:cs="楷体"/>
          <w:color w:val="auto"/>
          <w:sz w:val="32"/>
          <w:szCs w:val="32"/>
        </w:rPr>
      </w:pPr>
      <w:bookmarkStart w:id="12" w:name="_Toc18856"/>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五</w:t>
      </w:r>
      <w:r>
        <w:rPr>
          <w:rFonts w:hint="eastAsia" w:ascii="楷体" w:hAnsi="楷体" w:eastAsia="楷体" w:cs="楷体"/>
          <w:color w:val="auto"/>
          <w:sz w:val="32"/>
          <w:szCs w:val="32"/>
        </w:rPr>
        <w:t>）持续深化医药卫生体制改革</w:t>
      </w:r>
      <w:bookmarkEnd w:id="12"/>
    </w:p>
    <w:p>
      <w:pPr>
        <w:spacing w:line="360" w:lineRule="auto"/>
        <w:ind w:firstLine="640" w:firstLineChars="200"/>
        <w:rPr>
          <w:rFonts w:hint="eastAsia" w:ascii="仿宋" w:hAnsi="仿宋" w:eastAsia="仿宋" w:cs="仿宋"/>
          <w:color w:val="auto"/>
          <w:kern w:val="0"/>
          <w:sz w:val="32"/>
          <w:szCs w:val="32"/>
          <w:lang w:bidi="ar"/>
        </w:rPr>
      </w:pPr>
      <w:r>
        <w:rPr>
          <w:rFonts w:hint="eastAsia" w:ascii="仿宋" w:hAnsi="仿宋" w:eastAsia="仿宋" w:cs="仿宋"/>
          <w:color w:val="auto"/>
          <w:sz w:val="32"/>
          <w:szCs w:val="32"/>
          <w:highlight w:val="none"/>
          <w:lang w:val="en-US" w:eastAsia="zh-CN"/>
        </w:rPr>
        <w:t>27</w:t>
      </w:r>
      <w:r>
        <w:rPr>
          <w:rFonts w:hint="eastAsia" w:ascii="仿宋" w:hAnsi="仿宋" w:eastAsia="仿宋" w:cs="仿宋"/>
          <w:color w:val="auto"/>
          <w:sz w:val="32"/>
          <w:szCs w:val="32"/>
          <w:highlight w:val="none"/>
        </w:rPr>
        <w:t>.加快</w:t>
      </w:r>
      <w:r>
        <w:rPr>
          <w:rFonts w:hint="eastAsia" w:ascii="仿宋" w:hAnsi="仿宋" w:eastAsia="仿宋" w:cs="仿宋"/>
          <w:color w:val="auto"/>
          <w:sz w:val="32"/>
          <w:szCs w:val="32"/>
          <w:highlight w:val="none"/>
          <w:lang w:eastAsia="zh-CN"/>
        </w:rPr>
        <w:t>完善</w:t>
      </w:r>
      <w:r>
        <w:rPr>
          <w:rFonts w:hint="eastAsia" w:ascii="仿宋" w:hAnsi="仿宋" w:eastAsia="仿宋" w:cs="仿宋"/>
          <w:color w:val="auto"/>
          <w:sz w:val="32"/>
          <w:szCs w:val="32"/>
          <w:highlight w:val="none"/>
        </w:rPr>
        <w:t>分级诊疗体系。完善各级各类医疗机构功能定位，科学建立分级诊疗病种目录和转诊标准。</w:t>
      </w:r>
      <w:r>
        <w:rPr>
          <w:rFonts w:hint="eastAsia" w:ascii="仿宋_GB2312" w:hAnsi="仿宋_GB2312" w:eastAsia="仿宋_GB2312" w:cs="仿宋_GB2312"/>
          <w:b w:val="0"/>
          <w:bCs w:val="0"/>
          <w:color w:val="auto"/>
          <w:sz w:val="32"/>
          <w:szCs w:val="32"/>
          <w:lang w:val="en-US" w:eastAsia="zh-CN"/>
        </w:rPr>
        <w:t>督促引导三级公立医院主动落实分级诊疗制度，科学建立分级诊疗病种目录和转诊标准，逐步减少常见病患者占比，进一步提升三四级手术占比。</w:t>
      </w:r>
      <w:r>
        <w:rPr>
          <w:rFonts w:hint="eastAsia" w:ascii="仿宋" w:hAnsi="仿宋" w:eastAsia="仿宋" w:cs="仿宋"/>
          <w:color w:val="auto"/>
          <w:sz w:val="32"/>
          <w:szCs w:val="32"/>
          <w:highlight w:val="none"/>
        </w:rPr>
        <w:t>建立健全上下级医院、医共体内外、城市医联体之间转诊标准、工作机制，畅通慢性期、恢复期患者向下转诊通道。进一步推进紧密型城市医联体、县域医共体建设，推动责任清单和任务清单落地。</w:t>
      </w:r>
      <w:r>
        <w:rPr>
          <w:rFonts w:hint="eastAsia" w:ascii="仿宋" w:hAnsi="仿宋" w:eastAsia="仿宋" w:cs="仿宋"/>
          <w:color w:val="auto"/>
          <w:sz w:val="32"/>
          <w:szCs w:val="32"/>
          <w:highlight w:val="none"/>
          <w:shd w:val="clear" w:color="auto" w:fill="FFFFFF"/>
        </w:rPr>
        <w:t>统筹激活各级医疗资源，高度</w:t>
      </w:r>
      <w:r>
        <w:rPr>
          <w:rFonts w:hint="eastAsia" w:ascii="仿宋" w:hAnsi="仿宋" w:eastAsia="仿宋" w:cs="仿宋"/>
          <w:color w:val="auto"/>
          <w:sz w:val="32"/>
          <w:szCs w:val="32"/>
          <w:shd w:val="clear" w:color="auto" w:fill="FFFFFF"/>
        </w:rPr>
        <w:t>融合资源，运营管理一盘棋，做到人员、业务、药械、财务、信息和医保支付管理“六统一”。在基层医疗卫生机构全面推行“公益一类财政保障，公益二类绩效管理”，完善基层机构绩效工资制度，根据地方实际细化“两个允许”，</w:t>
      </w:r>
      <w:r>
        <w:rPr>
          <w:rFonts w:hint="eastAsia" w:ascii="仿宋" w:hAnsi="仿宋" w:eastAsia="仿宋" w:cs="仿宋"/>
          <w:color w:val="auto"/>
          <w:sz w:val="32"/>
          <w:szCs w:val="32"/>
        </w:rPr>
        <w:t>统筹平衡基层医疗卫生机构与当地县级公立医院绩效工资水平的关系，合理确定绩效工资总量和水平，基层机构人员收入逐步达到县级医院同职级人员水平。</w:t>
      </w:r>
      <w:r>
        <w:rPr>
          <w:rFonts w:hint="eastAsia" w:ascii="仿宋" w:hAnsi="仿宋" w:eastAsia="仿宋" w:cs="仿宋"/>
          <w:color w:val="auto"/>
          <w:kern w:val="0"/>
          <w:sz w:val="32"/>
          <w:szCs w:val="32"/>
          <w:lang w:bidi="ar"/>
        </w:rPr>
        <w:t>（牵头</w:t>
      </w:r>
      <w:r>
        <w:rPr>
          <w:rFonts w:hint="eastAsia" w:ascii="仿宋" w:hAnsi="仿宋" w:eastAsia="仿宋" w:cs="仿宋"/>
          <w:color w:val="auto"/>
          <w:kern w:val="0"/>
          <w:sz w:val="32"/>
          <w:szCs w:val="32"/>
          <w:lang w:val="en-US" w:eastAsia="zh-CN" w:bidi="ar"/>
        </w:rPr>
        <w:t>部门</w:t>
      </w:r>
      <w:r>
        <w:rPr>
          <w:rFonts w:hint="eastAsia" w:ascii="仿宋" w:hAnsi="仿宋" w:eastAsia="仿宋" w:cs="仿宋"/>
          <w:color w:val="auto"/>
          <w:kern w:val="0"/>
          <w:sz w:val="32"/>
          <w:szCs w:val="32"/>
          <w:lang w:bidi="ar"/>
        </w:rPr>
        <w:t>：市卫生健康委</w:t>
      </w:r>
      <w:r>
        <w:rPr>
          <w:rFonts w:hint="eastAsia" w:ascii="仿宋" w:hAnsi="仿宋" w:eastAsia="仿宋" w:cs="仿宋"/>
          <w:color w:val="auto"/>
          <w:kern w:val="0"/>
          <w:sz w:val="32"/>
          <w:szCs w:val="32"/>
          <w:lang w:eastAsia="zh-CN" w:bidi="ar"/>
        </w:rPr>
        <w:t>；</w:t>
      </w:r>
      <w:r>
        <w:rPr>
          <w:rFonts w:hint="eastAsia" w:ascii="仿宋" w:hAnsi="仿宋" w:eastAsia="仿宋" w:cs="仿宋"/>
          <w:color w:val="auto"/>
          <w:kern w:val="0"/>
          <w:sz w:val="32"/>
          <w:szCs w:val="32"/>
          <w:lang w:val="en-US" w:eastAsia="zh-CN" w:bidi="ar"/>
        </w:rPr>
        <w:t>参与部门：</w:t>
      </w:r>
      <w:r>
        <w:rPr>
          <w:rFonts w:hint="eastAsia" w:ascii="仿宋" w:hAnsi="仿宋" w:eastAsia="仿宋" w:cs="仿宋"/>
          <w:color w:val="auto"/>
          <w:kern w:val="0"/>
          <w:sz w:val="32"/>
          <w:szCs w:val="32"/>
          <w:lang w:bidi="ar"/>
        </w:rPr>
        <w:t>市人力资源社会保障局、市医保局、市发展改革委、市财政局）</w:t>
      </w:r>
    </w:p>
    <w:p>
      <w:pPr>
        <w:spacing w:line="360" w:lineRule="auto"/>
        <w:ind w:firstLine="640" w:firstLineChars="200"/>
        <w:rPr>
          <w:rFonts w:hint="eastAsia" w:ascii="仿宋" w:hAnsi="仿宋" w:eastAsia="仿宋" w:cs="仿宋"/>
          <w:color w:val="auto"/>
          <w:kern w:val="0"/>
          <w:sz w:val="32"/>
          <w:szCs w:val="32"/>
          <w:lang w:bidi="ar"/>
        </w:rPr>
      </w:pP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.推动公立医院高质量发展。通过</w:t>
      </w:r>
      <w:r>
        <w:rPr>
          <w:rFonts w:hint="eastAsia" w:ascii="仿宋" w:hAnsi="仿宋" w:eastAsia="仿宋" w:cs="仿宋"/>
          <w:color w:val="auto"/>
          <w:sz w:val="32"/>
          <w:szCs w:val="32"/>
          <w:shd w:val="clear" w:color="auto" w:fill="FFFFFF"/>
        </w:rPr>
        <w:t>组建由三级公立医院牵头，其他若干家医院、基层医疗卫生机构、公共卫生机构等为成员的紧密型城市医疗集团，以及按照县乡一体化、乡村一体化原则，以县级医院为龙头的紧密型县域医共体，构建公立医院高质量发展新体系。</w:t>
      </w:r>
      <w:r>
        <w:rPr>
          <w:rFonts w:hint="eastAsia" w:ascii="仿宋" w:hAnsi="仿宋" w:eastAsia="仿宋" w:cs="仿宋"/>
          <w:color w:val="auto"/>
          <w:sz w:val="32"/>
          <w:szCs w:val="32"/>
        </w:rPr>
        <w:t>全面加强公立医院党的建设，健全党委领导下的院长负责制，落实公立医院经营管理自主权。</w:t>
      </w:r>
      <w:r>
        <w:rPr>
          <w:rFonts w:hint="eastAsia" w:ascii="仿宋" w:hAnsi="仿宋" w:eastAsia="仿宋" w:cs="仿宋"/>
          <w:color w:val="auto"/>
          <w:sz w:val="32"/>
          <w:szCs w:val="32"/>
          <w:shd w:val="clear" w:color="auto" w:fill="FFFFFF"/>
        </w:rPr>
        <w:t>加强临床专科建设、推进医学技术创新、推进医疗服务模式创新、强化信息化建设，引导公立医院高质量发展。健全运营管理体系、加强全面预算管理、完善内部控制制度、健全绩效评价机制，提升公立医院高质量发展新效能。改革人事管理制度、改革薪酬分配制度、健全医务人员培养评价制度、深化医疗服务价格改革、深化医保支付方式改革，激活公立医院高质量发展新动力。</w:t>
      </w:r>
      <w:r>
        <w:rPr>
          <w:rFonts w:hint="eastAsia" w:ascii="仿宋" w:hAnsi="仿宋" w:eastAsia="仿宋" w:cs="仿宋"/>
          <w:color w:val="auto"/>
          <w:sz w:val="32"/>
          <w:szCs w:val="32"/>
        </w:rPr>
        <w:t>深入开展公立医院综合改革示范和绩效评价工作，全面实施二级以上公立医院绩效考核，推进妇幼保健机构绩效考核，进一步优化评价考核指标体系，建立以“维护公益性、调动积极性、保障可持续”为原则的考核和激励机制。推进人事薪酬制度改革。完善公立医院薪酬总量核定、内部绩效考核和收入分配方法，建立健全人员能进能出、岗位能上能下、收入能升能降、市场化的选人用人机制。建立覆盖诊断、治疗、人力资源、财务、成本管理等全方面的现代化信息管理制度，推动医院精细化管理。</w:t>
      </w:r>
      <w:r>
        <w:rPr>
          <w:rFonts w:hint="eastAsia" w:ascii="仿宋" w:hAnsi="仿宋" w:eastAsia="仿宋" w:cs="仿宋"/>
          <w:color w:val="auto"/>
          <w:kern w:val="0"/>
          <w:sz w:val="32"/>
          <w:szCs w:val="32"/>
          <w:lang w:bidi="ar"/>
        </w:rPr>
        <w:t>（牵头</w:t>
      </w:r>
      <w:r>
        <w:rPr>
          <w:rFonts w:hint="eastAsia" w:ascii="仿宋" w:hAnsi="仿宋" w:eastAsia="仿宋" w:cs="仿宋"/>
          <w:color w:val="auto"/>
          <w:kern w:val="0"/>
          <w:sz w:val="32"/>
          <w:szCs w:val="32"/>
          <w:lang w:val="en-US" w:eastAsia="zh-CN" w:bidi="ar"/>
        </w:rPr>
        <w:t>部门</w:t>
      </w:r>
      <w:r>
        <w:rPr>
          <w:rFonts w:hint="eastAsia" w:ascii="仿宋" w:hAnsi="仿宋" w:eastAsia="仿宋" w:cs="仿宋"/>
          <w:color w:val="auto"/>
          <w:kern w:val="0"/>
          <w:sz w:val="32"/>
          <w:szCs w:val="32"/>
          <w:lang w:bidi="ar"/>
        </w:rPr>
        <w:t>：市卫生健康委</w:t>
      </w:r>
      <w:r>
        <w:rPr>
          <w:rFonts w:hint="eastAsia" w:ascii="仿宋" w:hAnsi="仿宋" w:eastAsia="仿宋" w:cs="仿宋"/>
          <w:color w:val="auto"/>
          <w:kern w:val="0"/>
          <w:sz w:val="32"/>
          <w:szCs w:val="32"/>
          <w:lang w:eastAsia="zh-CN" w:bidi="ar"/>
        </w:rPr>
        <w:t>；</w:t>
      </w:r>
      <w:r>
        <w:rPr>
          <w:rFonts w:hint="eastAsia" w:ascii="仿宋" w:hAnsi="仿宋" w:eastAsia="仿宋" w:cs="仿宋"/>
          <w:color w:val="auto"/>
          <w:kern w:val="0"/>
          <w:sz w:val="32"/>
          <w:szCs w:val="32"/>
          <w:lang w:val="en-US" w:eastAsia="zh-CN" w:bidi="ar"/>
        </w:rPr>
        <w:t>参与部门：</w:t>
      </w:r>
      <w:r>
        <w:rPr>
          <w:rFonts w:hint="eastAsia" w:ascii="仿宋" w:hAnsi="仿宋" w:eastAsia="仿宋" w:cs="仿宋"/>
          <w:color w:val="auto"/>
          <w:kern w:val="0"/>
          <w:sz w:val="32"/>
          <w:szCs w:val="32"/>
          <w:lang w:bidi="ar"/>
        </w:rPr>
        <w:t>市委编办、市人力资源社会保障局、市发展改革委、市财政局）</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lang w:val="en-US" w:eastAsia="zh-CN"/>
        </w:rPr>
        <w:t>29</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rPr>
        <w:t>强化“三医联动”和系统集成改革。</w:t>
      </w:r>
      <w:r>
        <w:rPr>
          <w:rFonts w:hint="eastAsia" w:ascii="仿宋_GB2312" w:eastAsia="仿宋_GB2312"/>
          <w:color w:val="auto"/>
          <w:sz w:val="32"/>
          <w:szCs w:val="32"/>
        </w:rPr>
        <w:t>持续深入推进“三医联动”系统集成改革，完善高效有力的医改领导体制和组织推进机制，坚定“控总量、腾空间、调结构、保衔接、强监管”改革路径，发挥重点领域、关键环节和典型地区对全局改革的示范、突破和带动作用。</w:t>
      </w:r>
      <w:r>
        <w:rPr>
          <w:rFonts w:hint="eastAsia" w:ascii="仿宋_GB2312" w:hAnsi="仿宋_GB2312" w:eastAsia="仿宋_GB2312" w:cs="仿宋_GB2312"/>
          <w:b w:val="0"/>
          <w:bCs w:val="0"/>
          <w:color w:val="auto"/>
          <w:sz w:val="32"/>
          <w:szCs w:val="32"/>
          <w:lang w:val="en-US" w:eastAsia="zh-CN"/>
        </w:rPr>
        <w:t>建立健全普通门诊费用医保统筹机制，提高门诊慢性病医疗保障水平，逐步将门诊医疗费用纳入基本医疗保险统筹基金支付范围，改革职工基本医疗保险个人账户，建立健全门诊共济保障机制。</w:t>
      </w:r>
      <w:r>
        <w:rPr>
          <w:rFonts w:hint="eastAsia" w:ascii="仿宋" w:hAnsi="仿宋" w:eastAsia="仿宋" w:cs="仿宋"/>
          <w:color w:val="auto"/>
          <w:sz w:val="32"/>
          <w:szCs w:val="32"/>
        </w:rPr>
        <w:t>落实医保总额预付、结余留用、合理超支分担政策，健全医保经办机构与医疗机构之间的协商谈判机制，合理确定、动态调整医保基金总额预算指标</w:t>
      </w:r>
      <w:r>
        <w:rPr>
          <w:rFonts w:hint="eastAsia" w:ascii="仿宋" w:hAnsi="仿宋" w:eastAsia="仿宋" w:cs="仿宋"/>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加强监督考核，考核结果与预算额度挂钩，进一步完善异地就医联网结算办法。</w:t>
      </w:r>
      <w:r>
        <w:rPr>
          <w:rFonts w:hint="eastAsia" w:ascii="仿宋" w:hAnsi="仿宋" w:eastAsia="仿宋" w:cs="仿宋"/>
          <w:color w:val="auto"/>
          <w:sz w:val="32"/>
          <w:szCs w:val="32"/>
          <w:shd w:val="clear" w:color="auto" w:fill="FFFFFF"/>
        </w:rPr>
        <w:t>深化医保支付方式改革</w:t>
      </w:r>
      <w:r>
        <w:rPr>
          <w:rFonts w:hint="eastAsia" w:ascii="仿宋" w:hAnsi="仿宋" w:eastAsia="仿宋" w:cs="仿宋"/>
          <w:color w:val="auto"/>
          <w:sz w:val="32"/>
          <w:szCs w:val="32"/>
          <w:shd w:val="clear" w:color="auto" w:fill="FFFFFF"/>
          <w:lang w:eastAsia="zh-CN"/>
        </w:rPr>
        <w:t>，</w:t>
      </w:r>
      <w:r>
        <w:rPr>
          <w:rFonts w:hint="eastAsia" w:ascii="仿宋_GB2312" w:hAnsi="仿宋_GB2312" w:eastAsia="仿宋_GB2312" w:cs="仿宋_GB2312"/>
          <w:b w:val="0"/>
          <w:bCs w:val="0"/>
          <w:color w:val="auto"/>
          <w:sz w:val="32"/>
          <w:szCs w:val="32"/>
          <w:lang w:val="en-US" w:eastAsia="zh-CN"/>
        </w:rPr>
        <w:t>探索医疗服务与药品分开支付。推行以按病种付费为主的多元复合式医保支付方式，推广按疾病诊断相关分组付费（DRG）、按病种分值付费（DIP）。医疗康复、慢性精神疾病等长期住院按床日付费，门诊特殊慢性病按人头付费。</w:t>
      </w:r>
      <w:r>
        <w:rPr>
          <w:rFonts w:hint="eastAsia" w:ascii="仿宋" w:hAnsi="仿宋" w:eastAsia="仿宋" w:cs="仿宋"/>
          <w:color w:val="auto"/>
          <w:sz w:val="32"/>
          <w:szCs w:val="32"/>
        </w:rPr>
        <w:t>落实“互联网+”医疗服务价格</w:t>
      </w:r>
      <w:r>
        <w:rPr>
          <w:rFonts w:hint="eastAsia" w:ascii="仿宋_GB2312" w:eastAsia="仿宋_GB2312"/>
          <w:color w:val="auto"/>
          <w:sz w:val="32"/>
          <w:szCs w:val="32"/>
        </w:rPr>
        <w:t>和医保支付政策，探索对紧密型医联体实行总额付费，探索</w:t>
      </w:r>
      <w:r>
        <w:rPr>
          <w:rFonts w:hint="eastAsia" w:ascii="仿宋_GB2312" w:eastAsia="仿宋_GB2312"/>
          <w:color w:val="auto"/>
          <w:sz w:val="32"/>
          <w:szCs w:val="32"/>
          <w:lang w:eastAsia="zh-CN"/>
        </w:rPr>
        <w:t>建立</w:t>
      </w:r>
      <w:r>
        <w:rPr>
          <w:rFonts w:hint="eastAsia" w:ascii="仿宋_GB2312" w:eastAsia="仿宋_GB2312"/>
          <w:color w:val="auto"/>
          <w:sz w:val="32"/>
          <w:szCs w:val="32"/>
        </w:rPr>
        <w:t>符合中医药服务特点的支付方式</w:t>
      </w:r>
      <w:r>
        <w:rPr>
          <w:rFonts w:hint="eastAsia" w:ascii="仿宋_GB2312" w:eastAsia="仿宋_GB2312"/>
          <w:color w:val="auto"/>
          <w:sz w:val="32"/>
          <w:szCs w:val="32"/>
          <w:lang w:eastAsia="zh-CN"/>
        </w:rPr>
        <w:t>，</w:t>
      </w:r>
      <w:r>
        <w:rPr>
          <w:rFonts w:hint="eastAsia" w:ascii="仿宋_GB2312" w:eastAsia="仿宋_GB2312"/>
          <w:color w:val="auto"/>
          <w:sz w:val="32"/>
          <w:szCs w:val="32"/>
        </w:rPr>
        <w:t>健全中医医疗服务项目价格动态调整机制，推广中医优势病种按病种收付费，在有条件的中医医疗机构内探索设立日间诊疗中心。</w:t>
      </w:r>
      <w:r>
        <w:rPr>
          <w:rFonts w:hint="eastAsia" w:ascii="仿宋" w:hAnsi="仿宋" w:eastAsia="仿宋" w:cs="仿宋"/>
          <w:color w:val="auto"/>
          <w:sz w:val="32"/>
          <w:szCs w:val="32"/>
        </w:rPr>
        <w:t>落实好“医共体内转诊患者连续计算起付线、院内制剂可在医共体内使用并纳入医保支付”等倾斜政策。进一步完善短缺药品监测预警和分级应对机制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全面贯彻落实国家基本药物制度和政策，强化基本药物主导地位，加快推动形成以基本药物为主导的“1+X”用药模式。建立医联体内药品调剂供应使用机制，保证下转至基层医疗卫生机构诊疗患者的合理用药。</w:t>
      </w:r>
      <w:r>
        <w:rPr>
          <w:rFonts w:hint="eastAsia" w:ascii="仿宋" w:hAnsi="仿宋" w:eastAsia="仿宋" w:cs="仿宋"/>
          <w:color w:val="auto"/>
          <w:sz w:val="32"/>
          <w:szCs w:val="32"/>
          <w:lang w:val="en-US" w:eastAsia="zh-CN"/>
        </w:rPr>
        <w:t>大力发展商业健康保险。</w:t>
      </w:r>
      <w:r>
        <w:rPr>
          <w:rFonts w:hint="eastAsia" w:ascii="仿宋" w:hAnsi="仿宋" w:eastAsia="仿宋" w:cs="仿宋"/>
          <w:color w:val="auto"/>
          <w:sz w:val="32"/>
          <w:szCs w:val="32"/>
        </w:rPr>
        <w:t>（牵头</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：市医保局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参与部门：</w:t>
      </w:r>
      <w:r>
        <w:rPr>
          <w:rFonts w:hint="eastAsia" w:ascii="仿宋" w:hAnsi="仿宋" w:eastAsia="仿宋" w:cs="仿宋"/>
          <w:color w:val="auto"/>
          <w:sz w:val="32"/>
          <w:szCs w:val="32"/>
        </w:rPr>
        <w:t>市卫生健康委、市发展改革委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市银保监局</w:t>
      </w:r>
      <w:r>
        <w:rPr>
          <w:rFonts w:hint="eastAsia" w:ascii="仿宋" w:hAnsi="仿宋" w:eastAsia="仿宋" w:cs="仿宋"/>
          <w:color w:val="auto"/>
          <w:sz w:val="32"/>
          <w:szCs w:val="32"/>
        </w:rPr>
        <w:t>）</w:t>
      </w:r>
    </w:p>
    <w:p>
      <w:pPr>
        <w:rPr>
          <w:rFonts w:hint="eastAsia" w:ascii="仿宋" w:hAnsi="仿宋" w:eastAsia="仿宋" w:cs="仿宋"/>
          <w:kern w:val="0"/>
          <w:sz w:val="32"/>
          <w:szCs w:val="32"/>
          <w:lang w:bidi="ar"/>
        </w:rPr>
      </w:pPr>
    </w:p>
    <w:p>
      <w:pPr>
        <w:spacing w:after="78" w:afterLines="25"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专栏</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 xml:space="preserve"> 医药卫生体制改革攻坚项目</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推进人事薪酬制度改革：</w:t>
            </w:r>
            <w:r>
              <w:rPr>
                <w:rFonts w:hint="eastAsia" w:ascii="仿宋" w:hAnsi="仿宋" w:eastAsia="仿宋" w:cs="仿宋"/>
                <w:sz w:val="32"/>
                <w:szCs w:val="32"/>
              </w:rPr>
              <w:t>立足烟台实际，对标发达省份，进一步全面深入推进公立医院人事薪酬制度改革，着力在深化公立医院编制、人事和薪酬制度综合改革攻坚，健全人员能进能出、岗位能上能下、收入能升能降、市场化的选人用人机制，建立以“维护公益性、调动积极性、保障可持续”为原则的考核和激励机制。</w:t>
            </w:r>
          </w:p>
          <w:p>
            <w:pPr>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DRG付费改革：</w:t>
            </w:r>
            <w:r>
              <w:rPr>
                <w:rFonts w:hint="eastAsia" w:ascii="仿宋" w:hAnsi="仿宋" w:eastAsia="仿宋" w:cs="仿宋"/>
                <w:sz w:val="32"/>
                <w:szCs w:val="32"/>
              </w:rPr>
              <w:t>统一使用国家制定的疾病诊断、手术操作、药品、医用耗材和医疗服务项目编码，统一使用国家公布的</w:t>
            </w:r>
            <w:r>
              <w:rPr>
                <w:rFonts w:hint="eastAsia" w:ascii="仿宋" w:hAnsi="仿宋" w:eastAsia="仿宋" w:cs="仿宋"/>
              </w:rPr>
              <w:fldChar w:fldCharType="begin"/>
            </w:r>
            <w:r>
              <w:rPr>
                <w:rFonts w:hint="eastAsia" w:ascii="仿宋" w:hAnsi="仿宋" w:eastAsia="仿宋" w:cs="仿宋"/>
              </w:rPr>
              <w:instrText xml:space="preserve"> HYPERLINK "https://zk.cn-healthcare.com/doc-show-39199.html" </w:instrText>
            </w:r>
            <w:r>
              <w:rPr>
                <w:rFonts w:hint="eastAsia" w:ascii="仿宋" w:hAnsi="仿宋" w:eastAsia="仿宋" w:cs="仿宋"/>
              </w:rPr>
              <w:fldChar w:fldCharType="separate"/>
            </w:r>
            <w:r>
              <w:rPr>
                <w:rFonts w:hint="eastAsia" w:ascii="仿宋" w:hAnsi="仿宋" w:eastAsia="仿宋" w:cs="仿宋"/>
                <w:sz w:val="32"/>
                <w:szCs w:val="32"/>
              </w:rPr>
              <w:t>DRG分组</w:t>
            </w:r>
            <w:r>
              <w:rPr>
                <w:rFonts w:hint="eastAsia" w:ascii="仿宋" w:hAnsi="仿宋" w:eastAsia="仿宋" w:cs="仿宋"/>
                <w:sz w:val="32"/>
                <w:szCs w:val="32"/>
              </w:rPr>
              <w:fldChar w:fldCharType="end"/>
            </w:r>
            <w:r>
              <w:rPr>
                <w:rFonts w:hint="eastAsia" w:ascii="仿宋" w:hAnsi="仿宋" w:eastAsia="仿宋" w:cs="仿宋"/>
                <w:sz w:val="32"/>
                <w:szCs w:val="32"/>
              </w:rPr>
              <w:t>规则、病例信息采集标准、权重和费率测算等技术标准，统一使用国家推荐版DRG分组器进行分组。符合条件后正式按照DRG启动实际收费，并逐步建立以保证质量、控制成本、规范诊疗、提高医务人员积极性为核心的DRG付费和医院绩效管理体系。</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加快推进分级诊疗制度建设：</w:t>
            </w:r>
            <w:r>
              <w:rPr>
                <w:rFonts w:hint="eastAsia" w:ascii="仿宋" w:hAnsi="仿宋" w:eastAsia="仿宋" w:cs="仿宋"/>
                <w:sz w:val="32"/>
                <w:szCs w:val="32"/>
              </w:rPr>
              <w:t>积极开展区域医疗中心和区市医院能力建设，推进重大疾病单病种管理和三级医院日间服务，健全完善双向转诊机制。持续推进网络化城市医联体建设，建立牵头医院负总责、各级各类医疗卫生机构分工负责、防治康协同机制，逐步形成以健康为中心的服务模式。</w:t>
            </w:r>
          </w:p>
        </w:tc>
      </w:tr>
    </w:tbl>
    <w:p>
      <w:pPr>
        <w:rPr>
          <w:rFonts w:hint="eastAsia" w:ascii="仿宋" w:hAnsi="仿宋" w:eastAsia="仿宋" w:cs="仿宋"/>
          <w:sz w:val="32"/>
          <w:szCs w:val="32"/>
        </w:rPr>
      </w:pPr>
    </w:p>
    <w:p>
      <w:pPr>
        <w:pStyle w:val="3"/>
        <w:bidi w:val="0"/>
        <w:ind w:firstLine="643" w:firstLineChars="200"/>
        <w:rPr>
          <w:rFonts w:hint="eastAsia" w:ascii="楷体" w:hAnsi="楷体" w:eastAsia="楷体" w:cs="楷体"/>
          <w:color w:val="auto"/>
          <w:sz w:val="32"/>
          <w:szCs w:val="32"/>
        </w:rPr>
      </w:pPr>
      <w:bookmarkStart w:id="13" w:name="_Toc21196"/>
      <w:r>
        <w:rPr>
          <w:rFonts w:hint="eastAsia" w:ascii="楷体" w:hAnsi="楷体" w:eastAsia="楷体" w:cs="楷体"/>
          <w:sz w:val="32"/>
          <w:szCs w:val="32"/>
        </w:rPr>
        <w:t>（六）</w:t>
      </w:r>
      <w:r>
        <w:rPr>
          <w:rFonts w:hint="eastAsia" w:ascii="楷体" w:hAnsi="楷体" w:eastAsia="楷体" w:cs="楷体"/>
          <w:color w:val="auto"/>
          <w:sz w:val="32"/>
          <w:szCs w:val="32"/>
        </w:rPr>
        <w:t>加速推进中医药</w:t>
      </w:r>
      <w:r>
        <w:rPr>
          <w:rFonts w:hint="eastAsia" w:ascii="楷体" w:hAnsi="楷体" w:eastAsia="楷体" w:cs="楷体"/>
          <w:color w:val="auto"/>
          <w:sz w:val="32"/>
          <w:szCs w:val="32"/>
          <w:lang w:eastAsia="zh-CN"/>
        </w:rPr>
        <w:t>事业和产业</w:t>
      </w:r>
      <w:r>
        <w:rPr>
          <w:rFonts w:hint="eastAsia" w:ascii="楷体" w:hAnsi="楷体" w:eastAsia="楷体" w:cs="楷体"/>
          <w:color w:val="auto"/>
          <w:sz w:val="32"/>
          <w:szCs w:val="32"/>
        </w:rPr>
        <w:t>健康发展</w:t>
      </w:r>
      <w:bookmarkEnd w:id="13"/>
    </w:p>
    <w:p>
      <w:pPr>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bidi="ar"/>
        </w:rPr>
        <w:t>30</w:t>
      </w:r>
      <w:r>
        <w:rPr>
          <w:rFonts w:hint="eastAsia" w:ascii="仿宋" w:hAnsi="仿宋" w:eastAsia="仿宋" w:cs="仿宋"/>
          <w:color w:val="auto"/>
          <w:sz w:val="32"/>
          <w:szCs w:val="32"/>
          <w:lang w:bidi="ar"/>
        </w:rPr>
        <w:t>.</w:t>
      </w:r>
      <w:r>
        <w:rPr>
          <w:rFonts w:hint="eastAsia" w:ascii="仿宋" w:hAnsi="仿宋" w:eastAsia="仿宋" w:cs="仿宋"/>
          <w:color w:val="auto"/>
          <w:sz w:val="32"/>
          <w:szCs w:val="32"/>
        </w:rPr>
        <w:t>健全</w:t>
      </w:r>
      <w:r>
        <w:rPr>
          <w:rFonts w:hint="eastAsia" w:ascii="仿宋" w:hAnsi="仿宋" w:eastAsia="仿宋" w:cs="仿宋"/>
          <w:color w:val="auto"/>
          <w:sz w:val="32"/>
          <w:szCs w:val="32"/>
          <w:lang w:eastAsia="zh-CN"/>
        </w:rPr>
        <w:t>完善</w:t>
      </w:r>
      <w:r>
        <w:rPr>
          <w:rFonts w:hint="eastAsia" w:ascii="仿宋" w:hAnsi="仿宋" w:eastAsia="仿宋" w:cs="仿宋"/>
          <w:color w:val="auto"/>
          <w:sz w:val="32"/>
          <w:szCs w:val="32"/>
        </w:rPr>
        <w:t>中医药服务体系</w:t>
      </w:r>
      <w:r>
        <w:rPr>
          <w:rFonts w:hint="eastAsia" w:ascii="仿宋" w:hAnsi="仿宋" w:eastAsia="仿宋" w:cs="仿宋"/>
          <w:color w:val="auto"/>
          <w:sz w:val="32"/>
          <w:szCs w:val="32"/>
          <w:lang w:bidi="ar"/>
        </w:rPr>
        <w:t>。</w:t>
      </w:r>
      <w:r>
        <w:rPr>
          <w:rFonts w:hint="eastAsia" w:ascii="仿宋_GB2312" w:hAnsi="宋体" w:eastAsia="仿宋_GB2312" w:cs="宋体"/>
          <w:color w:val="auto"/>
          <w:sz w:val="32"/>
          <w:szCs w:val="32"/>
        </w:rPr>
        <w:t>遵循中医药发展规律，构建科学高效的中医药管理模式，加强中医药服务体系建设，完成烟台市中医医院及蓬莱、牟平、龙口、栖霞4</w:t>
      </w:r>
      <w:r>
        <w:rPr>
          <w:rFonts w:hint="eastAsia" w:ascii="仿宋_GB2312" w:hAnsi="宋体" w:eastAsia="仿宋_GB2312" w:cs="宋体"/>
          <w:color w:val="auto"/>
          <w:sz w:val="32"/>
          <w:szCs w:val="32"/>
          <w:lang w:eastAsia="zh-CN"/>
        </w:rPr>
        <w:t>县级</w:t>
      </w:r>
      <w:r>
        <w:rPr>
          <w:rFonts w:hint="eastAsia" w:ascii="仿宋_GB2312" w:hAnsi="宋体" w:eastAsia="仿宋_GB2312" w:cs="宋体"/>
          <w:color w:val="auto"/>
          <w:sz w:val="32"/>
          <w:szCs w:val="32"/>
        </w:rPr>
        <w:t>中医医院改扩建工程。加强市</w:t>
      </w:r>
      <w:r>
        <w:rPr>
          <w:rFonts w:ascii="仿宋_GB2312" w:hAnsi="宋体" w:eastAsia="仿宋_GB2312" w:cs="宋体"/>
          <w:color w:val="auto"/>
          <w:sz w:val="32"/>
          <w:szCs w:val="32"/>
        </w:rPr>
        <w:t>、</w:t>
      </w:r>
      <w:r>
        <w:rPr>
          <w:rFonts w:hint="eastAsia" w:ascii="仿宋_GB2312" w:hAnsi="宋体" w:eastAsia="仿宋_GB2312" w:cs="宋体"/>
          <w:color w:val="auto"/>
          <w:sz w:val="32"/>
          <w:szCs w:val="32"/>
        </w:rPr>
        <w:t>县级中医医院标准化建设，推动基础设施提档升级。推进</w:t>
      </w:r>
      <w:r>
        <w:rPr>
          <w:rFonts w:hint="eastAsia" w:ascii="仿宋_GB2312" w:hAnsi="仿宋_GB2312" w:eastAsia="仿宋_GB2312" w:cs="仿宋_GB2312"/>
          <w:color w:val="auto"/>
          <w:sz w:val="32"/>
          <w:szCs w:val="32"/>
        </w:rPr>
        <w:t>公立中医医院</w:t>
      </w:r>
      <w:r>
        <w:rPr>
          <w:rFonts w:hint="eastAsia" w:ascii="仿宋_GB2312" w:hAnsi="宋体" w:eastAsia="仿宋_GB2312" w:cs="宋体"/>
          <w:color w:val="auto"/>
          <w:sz w:val="32"/>
          <w:szCs w:val="32"/>
        </w:rPr>
        <w:t>治未病中心建设，加强</w:t>
      </w:r>
      <w:r>
        <w:rPr>
          <w:rFonts w:ascii="仿宋_GB2312" w:hAnsi="宋体" w:eastAsia="仿宋_GB2312" w:cs="宋体"/>
          <w:color w:val="auto"/>
          <w:sz w:val="32"/>
          <w:szCs w:val="32"/>
        </w:rPr>
        <w:t>中医康复体系建设，</w:t>
      </w:r>
      <w:r>
        <w:rPr>
          <w:rFonts w:hint="eastAsia" w:ascii="仿宋_GB2312" w:hAnsi="宋体" w:eastAsia="仿宋_GB2312" w:cs="宋体"/>
          <w:color w:val="auto"/>
          <w:sz w:val="32"/>
          <w:szCs w:val="32"/>
        </w:rPr>
        <w:t>普及基层中医药服务，积极</w:t>
      </w:r>
      <w:r>
        <w:rPr>
          <w:rFonts w:ascii="仿宋_GB2312" w:hAnsi="宋体" w:eastAsia="仿宋_GB2312" w:cs="宋体"/>
          <w:color w:val="auto"/>
          <w:sz w:val="32"/>
          <w:szCs w:val="32"/>
        </w:rPr>
        <w:t>构建</w:t>
      </w:r>
      <w:r>
        <w:rPr>
          <w:rFonts w:hint="eastAsia" w:ascii="仿宋_GB2312" w:hAnsi="宋体" w:eastAsia="仿宋_GB2312" w:cs="宋体"/>
          <w:color w:val="auto"/>
          <w:sz w:val="32"/>
          <w:szCs w:val="32"/>
        </w:rPr>
        <w:t>预防</w:t>
      </w:r>
      <w:r>
        <w:rPr>
          <w:rFonts w:ascii="仿宋_GB2312" w:hAnsi="宋体" w:eastAsia="仿宋_GB2312" w:cs="宋体"/>
          <w:color w:val="auto"/>
          <w:sz w:val="32"/>
          <w:szCs w:val="32"/>
        </w:rPr>
        <w:t>、</w:t>
      </w:r>
      <w:r>
        <w:rPr>
          <w:rFonts w:hint="eastAsia" w:ascii="仿宋_GB2312" w:hAnsi="宋体" w:eastAsia="仿宋_GB2312" w:cs="宋体"/>
          <w:color w:val="auto"/>
          <w:sz w:val="32"/>
          <w:szCs w:val="32"/>
        </w:rPr>
        <w:t>治疗</w:t>
      </w:r>
      <w:r>
        <w:rPr>
          <w:rFonts w:ascii="仿宋_GB2312" w:hAnsi="宋体" w:eastAsia="仿宋_GB2312" w:cs="宋体"/>
          <w:color w:val="auto"/>
          <w:sz w:val="32"/>
          <w:szCs w:val="32"/>
        </w:rPr>
        <w:t>、康复</w:t>
      </w:r>
      <w:r>
        <w:rPr>
          <w:rFonts w:hint="eastAsia" w:ascii="仿宋_GB2312" w:hAnsi="宋体" w:eastAsia="仿宋_GB2312" w:cs="宋体"/>
          <w:color w:val="auto"/>
          <w:sz w:val="32"/>
          <w:szCs w:val="32"/>
        </w:rPr>
        <w:t>为</w:t>
      </w:r>
      <w:r>
        <w:rPr>
          <w:rFonts w:ascii="仿宋_GB2312" w:hAnsi="宋体" w:eastAsia="仿宋_GB2312" w:cs="宋体"/>
          <w:color w:val="auto"/>
          <w:sz w:val="32"/>
          <w:szCs w:val="32"/>
        </w:rPr>
        <w:t>一体的中医药特色服务体系。到</w:t>
      </w:r>
      <w:r>
        <w:rPr>
          <w:rFonts w:hint="eastAsia" w:ascii="仿宋_GB2312" w:hAnsi="宋体" w:eastAsia="仿宋_GB2312" w:cs="宋体"/>
          <w:color w:val="auto"/>
          <w:sz w:val="32"/>
          <w:szCs w:val="32"/>
        </w:rPr>
        <w:t>2025年</w:t>
      </w:r>
      <w:r>
        <w:rPr>
          <w:rFonts w:ascii="仿宋_GB2312" w:hAnsi="宋体" w:eastAsia="仿宋_GB2312" w:cs="宋体"/>
          <w:color w:val="auto"/>
          <w:sz w:val="32"/>
          <w:szCs w:val="32"/>
        </w:rPr>
        <w:t>，</w:t>
      </w:r>
      <w:r>
        <w:rPr>
          <w:rFonts w:hint="eastAsia" w:ascii="仿宋_GB2312" w:hAnsi="仿宋_GB2312" w:eastAsia="仿宋_GB2312" w:cs="仿宋_GB2312"/>
          <w:color w:val="auto"/>
          <w:sz w:val="32"/>
          <w:szCs w:val="32"/>
        </w:rPr>
        <w:t>争创省级区域中医医疗中心1个，创建省级中医专科联盟牵头专科1-2个、成员专科</w:t>
      </w:r>
      <w:r>
        <w:rPr>
          <w:rFonts w:ascii="仿宋_GB2312" w:hAnsi="仿宋_GB2312" w:eastAsia="仿宋_GB2312" w:cs="仿宋_GB2312"/>
          <w:color w:val="auto"/>
          <w:sz w:val="32"/>
          <w:szCs w:val="32"/>
        </w:rPr>
        <w:t>30</w:t>
      </w:r>
      <w:r>
        <w:rPr>
          <w:rFonts w:hint="eastAsia" w:ascii="仿宋_GB2312" w:hAnsi="仿宋_GB2312" w:eastAsia="仿宋_GB2312" w:cs="仿宋_GB2312"/>
          <w:color w:val="auto"/>
          <w:sz w:val="32"/>
          <w:szCs w:val="32"/>
        </w:rPr>
        <w:t>个，建设市级中医药重点专科</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0个，100</w:t>
      </w:r>
      <w:r>
        <w:rPr>
          <w:rFonts w:hint="eastAsia" w:ascii="仿宋_GB2312" w:hAnsi="宋体" w:eastAsia="仿宋_GB2312" w:cs="宋体"/>
          <w:color w:val="auto"/>
          <w:sz w:val="32"/>
          <w:szCs w:val="32"/>
        </w:rPr>
        <w:t>%的</w:t>
      </w:r>
      <w:r>
        <w:rPr>
          <w:rFonts w:hint="eastAsia" w:ascii="仿宋_GB2312" w:hAnsi="宋体" w:eastAsia="仿宋_GB2312" w:cs="宋体"/>
          <w:color w:val="auto"/>
          <w:sz w:val="32"/>
          <w:szCs w:val="32"/>
          <w:lang w:eastAsia="zh-CN"/>
        </w:rPr>
        <w:t>县</w:t>
      </w:r>
      <w:r>
        <w:rPr>
          <w:rFonts w:hint="eastAsia" w:ascii="仿宋_GB2312" w:hAnsi="宋体" w:eastAsia="仿宋_GB2312" w:cs="宋体"/>
          <w:color w:val="auto"/>
          <w:sz w:val="32"/>
          <w:szCs w:val="32"/>
        </w:rPr>
        <w:t>级中医医院达到国家医疗服务能力推荐标准</w:t>
      </w:r>
      <w:r>
        <w:rPr>
          <w:rFonts w:hint="eastAsia" w:ascii="仿宋_GB2312" w:hAnsi="宋体" w:eastAsia="仿宋_GB2312" w:cs="宋体"/>
          <w:color w:val="auto"/>
          <w:sz w:val="32"/>
          <w:szCs w:val="32"/>
          <w:lang w:eastAsia="zh-CN"/>
        </w:rPr>
        <w:t>，</w:t>
      </w:r>
      <w:r>
        <w:rPr>
          <w:rFonts w:hint="eastAsia" w:ascii="仿宋" w:hAnsi="仿宋" w:eastAsia="仿宋" w:cs="仿宋"/>
          <w:bCs/>
          <w:color w:val="auto"/>
          <w:kern w:val="0"/>
          <w:sz w:val="32"/>
          <w:szCs w:val="32"/>
          <w:lang w:val="en-US" w:eastAsia="zh-CN"/>
        </w:rPr>
        <w:t>政府办综合医院、妇幼保健院、传染病院中医药科室设置比例达100%。</w:t>
      </w:r>
      <w:r>
        <w:rPr>
          <w:rFonts w:hint="eastAsia" w:ascii="仿宋" w:hAnsi="仿宋" w:eastAsia="仿宋" w:cs="仿宋"/>
          <w:color w:val="auto"/>
          <w:sz w:val="32"/>
          <w:szCs w:val="32"/>
        </w:rPr>
        <w:t>（牵头</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：市卫生健康委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参与部门：</w:t>
      </w:r>
      <w:r>
        <w:rPr>
          <w:rFonts w:hint="eastAsia" w:ascii="仿宋" w:hAnsi="仿宋" w:eastAsia="仿宋" w:cs="仿宋"/>
          <w:color w:val="auto"/>
          <w:sz w:val="32"/>
          <w:szCs w:val="32"/>
        </w:rPr>
        <w:t>市发展改革委、市财政局、各区市政府、管委）</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sz w:val="32"/>
          <w:szCs w:val="32"/>
          <w:lang w:val="en-US" w:eastAsia="zh-CN" w:bidi="ar"/>
        </w:rPr>
        <w:t>31</w:t>
      </w:r>
      <w:r>
        <w:rPr>
          <w:rFonts w:hint="eastAsia" w:ascii="仿宋" w:hAnsi="仿宋" w:eastAsia="仿宋" w:cs="仿宋"/>
          <w:sz w:val="32"/>
          <w:szCs w:val="32"/>
          <w:lang w:bidi="ar"/>
        </w:rPr>
        <w:t>.拓展中医药健康养老服务。鼓励二级以上中医医院与养老机构开展不同形式的合作，有条件的中医医院开设老年病科，增加老年病床数量，开展老年病、慢性病防治和康复护理，为老年人就医提供优先优惠服务</w:t>
      </w:r>
      <w:r>
        <w:rPr>
          <w:rFonts w:hint="eastAsia" w:ascii="仿宋" w:hAnsi="仿宋" w:eastAsia="仿宋" w:cs="仿宋"/>
          <w:sz w:val="32"/>
          <w:szCs w:val="32"/>
        </w:rPr>
        <w:t>。</w:t>
      </w:r>
      <w:r>
        <w:rPr>
          <w:rFonts w:hint="eastAsia" w:ascii="仿宋" w:hAnsi="仿宋" w:eastAsia="仿宋" w:cs="仿宋"/>
          <w:color w:val="auto"/>
          <w:sz w:val="32"/>
          <w:szCs w:val="32"/>
        </w:rPr>
        <w:t>（牵头</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：市卫生健康委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参与部门：</w:t>
      </w:r>
      <w:r>
        <w:rPr>
          <w:rFonts w:hint="eastAsia" w:ascii="仿宋" w:hAnsi="仿宋" w:eastAsia="仿宋" w:cs="仿宋"/>
          <w:color w:val="auto"/>
          <w:sz w:val="32"/>
          <w:szCs w:val="32"/>
        </w:rPr>
        <w:t>市民政局、各区市政府、管委）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lang w:val="en-US" w:eastAsia="zh-CN"/>
        </w:rPr>
        <w:t>32.</w:t>
      </w:r>
      <w:r>
        <w:rPr>
          <w:rFonts w:hint="eastAsia" w:ascii="仿宋" w:hAnsi="仿宋" w:eastAsia="仿宋" w:cs="仿宋"/>
          <w:bCs/>
          <w:color w:val="auto"/>
          <w:sz w:val="32"/>
        </w:rPr>
        <w:t>加强中医药人才队伍和文化建设</w:t>
      </w:r>
      <w:r>
        <w:rPr>
          <w:rFonts w:hint="eastAsia" w:ascii="仿宋" w:hAnsi="仿宋" w:eastAsia="仿宋" w:cs="仿宋"/>
          <w:b/>
          <w:bCs/>
          <w:color w:val="auto"/>
          <w:sz w:val="32"/>
        </w:rPr>
        <w:t>。</w:t>
      </w:r>
      <w:r>
        <w:rPr>
          <w:rFonts w:hint="eastAsia" w:ascii="仿宋_GB2312" w:hAnsi="宋体" w:eastAsia="仿宋_GB2312" w:cs="宋体"/>
          <w:color w:val="auto"/>
          <w:sz w:val="32"/>
          <w:szCs w:val="32"/>
        </w:rPr>
        <w:t>实施中医药“三经传承”战略与开放创新发展，</w:t>
      </w:r>
      <w:r>
        <w:rPr>
          <w:rFonts w:hint="eastAsia" w:ascii="仿宋_GB2312" w:hAnsi="宋体" w:eastAsia="仿宋_GB2312" w:cs="宋体"/>
          <w:color w:val="auto"/>
          <w:sz w:val="32"/>
        </w:rPr>
        <w:t>建设2个</w:t>
      </w:r>
      <w:r>
        <w:rPr>
          <w:rFonts w:hint="eastAsia" w:ascii="仿宋_GB2312" w:hAnsi="宋体" w:eastAsia="仿宋_GB2312" w:cs="宋体"/>
          <w:color w:val="auto"/>
          <w:sz w:val="32"/>
          <w:szCs w:val="32"/>
        </w:rPr>
        <w:t>“三经传承”</w:t>
      </w:r>
      <w:r>
        <w:rPr>
          <w:rFonts w:hint="eastAsia" w:ascii="仿宋_GB2312" w:hAnsi="宋体" w:eastAsia="仿宋_GB2312" w:cs="宋体"/>
          <w:color w:val="auto"/>
          <w:sz w:val="32"/>
        </w:rPr>
        <w:t>推广示范基地，</w:t>
      </w:r>
      <w:r>
        <w:rPr>
          <w:rFonts w:hint="eastAsia" w:ascii="仿宋_GB2312" w:hAnsi="宋体" w:eastAsia="仿宋_GB2312" w:cs="宋体"/>
          <w:color w:val="auto"/>
          <w:sz w:val="32"/>
          <w:szCs w:val="32"/>
        </w:rPr>
        <w:t>跟进实施齐鲁医派、中医学术流派建设项目。</w:t>
      </w:r>
      <w:r>
        <w:rPr>
          <w:rFonts w:hint="eastAsia" w:ascii="仿宋_GB2312" w:hAnsi="宋体" w:eastAsia="仿宋_GB2312" w:cs="宋体"/>
          <w:color w:val="auto"/>
          <w:sz w:val="32"/>
        </w:rPr>
        <w:t>加大中医药高层次人才引育、选拔和传承创新型人才培养，完善师承教育模式，建设名中医工作室，联合国内知名医学研机构，选派优秀中青年骨干跟师培养。加强中医药文化资源开发利</w:t>
      </w:r>
      <w:r>
        <w:rPr>
          <w:rFonts w:hint="eastAsia" w:ascii="仿宋_GB2312" w:hAnsi="宋体" w:eastAsia="仿宋_GB2312" w:cs="宋体"/>
          <w:color w:val="auto"/>
          <w:sz w:val="32"/>
          <w:szCs w:val="32"/>
        </w:rPr>
        <w:t>用，</w:t>
      </w:r>
      <w:r>
        <w:rPr>
          <w:rFonts w:hint="eastAsia" w:ascii="仿宋_GB2312" w:hAnsi="宋体" w:eastAsia="仿宋_GB2312" w:cs="宋体"/>
          <w:color w:val="auto"/>
          <w:sz w:val="32"/>
          <w:szCs w:val="32"/>
          <w:lang w:eastAsia="zh-CN"/>
        </w:rPr>
        <w:t>加大中医药文化传播力度，</w:t>
      </w:r>
      <w:r>
        <w:rPr>
          <w:rFonts w:hint="eastAsia" w:ascii="仿宋_GB2312" w:hAnsi="宋体" w:eastAsia="仿宋_GB2312" w:cs="宋体"/>
          <w:color w:val="auto"/>
          <w:sz w:val="32"/>
          <w:szCs w:val="32"/>
        </w:rPr>
        <w:t>提升全市居</w:t>
      </w:r>
      <w:r>
        <w:rPr>
          <w:rFonts w:hint="eastAsia" w:ascii="仿宋_GB2312" w:hAnsi="宋体" w:eastAsia="仿宋_GB2312" w:cs="宋体"/>
          <w:color w:val="auto"/>
          <w:sz w:val="32"/>
        </w:rPr>
        <w:t>民中医药健康文化素养。统筹中医药文化对外交流、文化传播和贸易。加强中医药文化保护研究。</w:t>
      </w:r>
      <w:r>
        <w:rPr>
          <w:rFonts w:ascii="仿宋_GB2312" w:hAnsi="宋体" w:eastAsia="仿宋_GB2312" w:cs="仿宋_GB2312"/>
          <w:color w:val="auto"/>
          <w:kern w:val="0"/>
          <w:sz w:val="32"/>
          <w:szCs w:val="32"/>
          <w:lang w:bidi="ar"/>
        </w:rPr>
        <w:t>支持山东中医药大学来烟设立研</w:t>
      </w:r>
      <w:r>
        <w:rPr>
          <w:rFonts w:hint="eastAsia" w:ascii="仿宋_GB2312" w:hAnsi="宋体" w:eastAsia="仿宋_GB2312" w:cs="仿宋_GB2312"/>
          <w:color w:val="auto"/>
          <w:kern w:val="0"/>
          <w:sz w:val="32"/>
          <w:szCs w:val="32"/>
          <w:lang w:bidi="ar"/>
        </w:rPr>
        <w:t>究机构，提升烟台中医药临床及科研水平。</w:t>
      </w:r>
      <w:r>
        <w:rPr>
          <w:rFonts w:ascii="仿宋_GB2312" w:hAnsi="宋体" w:eastAsia="仿宋_GB2312" w:cs="宋体"/>
          <w:color w:val="auto"/>
          <w:sz w:val="32"/>
          <w:szCs w:val="32"/>
        </w:rPr>
        <w:t>到</w:t>
      </w:r>
      <w:r>
        <w:rPr>
          <w:rFonts w:hint="eastAsia" w:ascii="仿宋_GB2312" w:hAnsi="宋体" w:eastAsia="仿宋_GB2312" w:cs="宋体"/>
          <w:color w:val="auto"/>
          <w:sz w:val="32"/>
          <w:szCs w:val="32"/>
        </w:rPr>
        <w:t>2025年</w:t>
      </w:r>
      <w:r>
        <w:rPr>
          <w:rFonts w:ascii="仿宋_GB2312" w:hAnsi="宋体" w:eastAsia="仿宋_GB2312" w:cs="宋体"/>
          <w:color w:val="auto"/>
          <w:sz w:val="32"/>
          <w:szCs w:val="32"/>
        </w:rPr>
        <w:t>，</w:t>
      </w:r>
      <w:r>
        <w:rPr>
          <w:rFonts w:hint="eastAsia" w:ascii="仿宋_GB2312" w:hAnsi="宋体" w:eastAsia="仿宋_GB2312" w:cs="宋体"/>
          <w:color w:val="auto"/>
          <w:sz w:val="32"/>
        </w:rPr>
        <w:t>争创国医大师传承工作室5个，培养中医药学术领军人物1-2名、学科带头人5-10名，</w:t>
      </w:r>
      <w:r>
        <w:rPr>
          <w:rFonts w:ascii="仿宋_GB2312" w:hAnsi="宋体" w:eastAsia="仿宋_GB2312" w:cs="仿宋_GB2312"/>
          <w:color w:val="auto"/>
          <w:kern w:val="0"/>
          <w:sz w:val="32"/>
          <w:szCs w:val="32"/>
          <w:lang w:bidi="ar"/>
        </w:rPr>
        <w:t>创建市级名中医药专家传承工作室</w:t>
      </w:r>
      <w:r>
        <w:rPr>
          <w:rFonts w:hint="eastAsia" w:ascii="仿宋_GB2312" w:hAnsi="宋体" w:eastAsia="仿宋_GB2312" w:cs="仿宋_GB2312"/>
          <w:color w:val="auto"/>
          <w:kern w:val="0"/>
          <w:sz w:val="32"/>
          <w:szCs w:val="32"/>
          <w:lang w:bidi="ar"/>
        </w:rPr>
        <w:t>30个。</w:t>
      </w:r>
      <w:r>
        <w:rPr>
          <w:rFonts w:hint="eastAsia" w:ascii="仿宋" w:hAnsi="仿宋" w:eastAsia="仿宋" w:cs="仿宋"/>
          <w:color w:val="auto"/>
          <w:sz w:val="32"/>
        </w:rPr>
        <w:t>（</w:t>
      </w:r>
      <w:r>
        <w:rPr>
          <w:rFonts w:hint="eastAsia" w:ascii="仿宋" w:hAnsi="仿宋" w:eastAsia="仿宋" w:cs="仿宋"/>
          <w:bCs/>
          <w:color w:val="auto"/>
          <w:sz w:val="32"/>
          <w:szCs w:val="32"/>
        </w:rPr>
        <w:t>牵头部门：市卫生健康委</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参与部门：</w:t>
      </w:r>
      <w:r>
        <w:rPr>
          <w:rFonts w:hint="eastAsia" w:ascii="仿宋" w:hAnsi="仿宋" w:eastAsia="仿宋" w:cs="仿宋"/>
          <w:bCs/>
          <w:color w:val="auto"/>
          <w:sz w:val="32"/>
          <w:szCs w:val="32"/>
        </w:rPr>
        <w:t>市委组织部、市财政局、市教育局、市科技局、市文化和旅游局、市人力资源社会保障局）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hAnsi="楷体_GB2312" w:eastAsia="楷体_GB2312" w:cs="楷体_GB2312"/>
          <w:color w:val="auto"/>
          <w:sz w:val="32"/>
          <w:szCs w:val="32"/>
        </w:rPr>
      </w:pPr>
      <w:r>
        <w:rPr>
          <w:rStyle w:val="15"/>
          <w:rFonts w:hint="eastAsia" w:ascii="仿宋_GB2312" w:hAnsi="仿宋_GB2312" w:eastAsia="仿宋_GB2312" w:cs="仿宋_GB2312"/>
          <w:b w:val="0"/>
          <w:bCs w:val="0"/>
          <w:color w:val="auto"/>
          <w:sz w:val="32"/>
          <w:szCs w:val="32"/>
          <w:lang w:val="en-US" w:eastAsia="zh-CN"/>
        </w:rPr>
        <w:t>33.</w:t>
      </w:r>
      <w:r>
        <w:rPr>
          <w:rFonts w:hint="eastAsia" w:ascii="仿宋" w:hAnsi="仿宋" w:eastAsia="仿宋" w:cs="仿宋"/>
          <w:color w:val="auto"/>
          <w:kern w:val="21"/>
          <w:sz w:val="32"/>
          <w:szCs w:val="32"/>
        </w:rPr>
        <w:t>积极推</w:t>
      </w:r>
      <w:r>
        <w:rPr>
          <w:rFonts w:hint="eastAsia" w:ascii="仿宋" w:hAnsi="仿宋" w:eastAsia="仿宋" w:cs="仿宋"/>
          <w:color w:val="auto"/>
          <w:kern w:val="21"/>
          <w:sz w:val="32"/>
          <w:szCs w:val="32"/>
          <w:lang w:eastAsia="zh-CN"/>
        </w:rPr>
        <w:t>进</w:t>
      </w:r>
      <w:r>
        <w:rPr>
          <w:rFonts w:hint="eastAsia" w:ascii="仿宋" w:hAnsi="仿宋" w:eastAsia="仿宋" w:cs="仿宋"/>
          <w:color w:val="auto"/>
          <w:kern w:val="21"/>
          <w:sz w:val="32"/>
          <w:szCs w:val="32"/>
        </w:rPr>
        <w:t>中药材种植和养殖。</w:t>
      </w:r>
      <w:r>
        <w:rPr>
          <w:rFonts w:hint="eastAsia" w:ascii="仿宋_GB2312" w:hAnsi="仿宋_GB2312" w:eastAsia="仿宋_GB2312" w:cs="仿宋_GB2312"/>
          <w:color w:val="auto"/>
          <w:sz w:val="32"/>
          <w:szCs w:val="32"/>
        </w:rPr>
        <w:t>加强道地药材良种繁育基地和生产基地建设。重点发展金银花、丹参、莱胡参、杜仲、黄芪等药材。到2022年，在莱州市、海阳市、栖霞市等区市建设5处种子种苗繁育基地、5处规范化种植示范基地。</w:t>
      </w:r>
      <w:r>
        <w:rPr>
          <w:rFonts w:hint="eastAsia" w:ascii="仿宋_GB2312" w:hAnsi="仿宋_GB2312" w:eastAsia="仿宋_GB2312" w:cs="仿宋_GB2312"/>
          <w:color w:val="auto"/>
          <w:kern w:val="21"/>
          <w:sz w:val="32"/>
          <w:szCs w:val="32"/>
        </w:rPr>
        <w:t>鼓励</w:t>
      </w:r>
      <w:r>
        <w:rPr>
          <w:rFonts w:ascii="仿宋_GB2312" w:hAnsi="仿宋_GB2312" w:eastAsia="仿宋_GB2312" w:cs="仿宋_GB2312"/>
          <w:color w:val="auto"/>
          <w:kern w:val="21"/>
          <w:sz w:val="32"/>
          <w:szCs w:val="32"/>
        </w:rPr>
        <w:t>发展海洋中药</w:t>
      </w:r>
      <w:r>
        <w:rPr>
          <w:rFonts w:hint="eastAsia" w:ascii="仿宋_GB2312" w:hAnsi="仿宋_GB2312" w:eastAsia="仿宋_GB2312" w:cs="仿宋_GB2312"/>
          <w:color w:val="auto"/>
          <w:kern w:val="21"/>
          <w:sz w:val="32"/>
          <w:szCs w:val="32"/>
          <w:lang w:eastAsia="zh-CN"/>
        </w:rPr>
        <w:t>，持续增加海洋中药养殖面积，支持海洋中药资源综合利用</w:t>
      </w:r>
      <w:r>
        <w:rPr>
          <w:rFonts w:ascii="仿宋_GB2312" w:hAnsi="仿宋_GB2312" w:eastAsia="仿宋_GB2312" w:cs="仿宋_GB2312"/>
          <w:color w:val="auto"/>
          <w:kern w:val="21"/>
          <w:sz w:val="32"/>
          <w:szCs w:val="32"/>
        </w:rPr>
        <w:t>。</w:t>
      </w:r>
      <w:r>
        <w:rPr>
          <w:rFonts w:hint="eastAsia" w:ascii="仿宋_GB2312" w:hAnsi="仿宋_GB2312" w:eastAsia="仿宋_GB2312" w:cs="仿宋_GB2312"/>
          <w:color w:val="auto"/>
          <w:sz w:val="32"/>
          <w:szCs w:val="32"/>
          <w:lang w:eastAsia="zh-CN"/>
        </w:rPr>
        <w:t>与中医药企业开展合作，推进中药材规范化种植和产业化发展。总结推广中药材典型做法，</w:t>
      </w:r>
      <w:r>
        <w:rPr>
          <w:rFonts w:hint="eastAsia" w:ascii="仿宋_GB2312" w:hAnsi="仿宋_GB2312" w:eastAsia="仿宋_GB2312" w:cs="仿宋_GB2312"/>
          <w:color w:val="auto"/>
          <w:sz w:val="32"/>
          <w:szCs w:val="32"/>
        </w:rPr>
        <w:t>建设10处</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rPr>
        <w:t>中药材种植专业合作社和联合社。</w:t>
      </w:r>
      <w:r>
        <w:rPr>
          <w:rFonts w:hint="eastAsia" w:ascii="仿宋_GB2312" w:hAnsi="仿宋_GB2312" w:eastAsia="仿宋_GB2312" w:cs="仿宋_GB2312"/>
          <w:color w:val="auto"/>
          <w:sz w:val="32"/>
          <w:szCs w:val="32"/>
          <w:lang w:eastAsia="zh-CN"/>
        </w:rPr>
        <w:t>支持</w:t>
      </w:r>
      <w:r>
        <w:rPr>
          <w:rFonts w:hint="eastAsia" w:ascii="仿宋_GB2312" w:hAnsi="仿宋_GB2312" w:eastAsia="仿宋_GB2312" w:cs="仿宋_GB2312"/>
          <w:color w:val="auto"/>
          <w:sz w:val="32"/>
          <w:szCs w:val="32"/>
        </w:rPr>
        <w:t>莱阳</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建设</w:t>
      </w:r>
      <w:r>
        <w:rPr>
          <w:rFonts w:hint="eastAsia" w:ascii="仿宋_GB2312" w:hAnsi="仿宋_GB2312" w:eastAsia="仿宋_GB2312" w:cs="仿宋_GB2312"/>
          <w:b w:val="0"/>
          <w:bCs w:val="0"/>
          <w:color w:val="auto"/>
          <w:kern w:val="2"/>
          <w:sz w:val="32"/>
          <w:szCs w:val="32"/>
          <w:highlight w:val="none"/>
          <w:vertAlign w:val="baseline"/>
          <w:lang w:val="en-US" w:eastAsia="zh-CN" w:bidi="ar-SA"/>
        </w:rPr>
        <w:t>中草药健康产业园，</w:t>
      </w:r>
      <w:r>
        <w:rPr>
          <w:rFonts w:hint="eastAsia" w:ascii="仿宋_GB2312" w:hAnsi="仿宋_GB2312" w:eastAsia="仿宋_GB2312" w:cs="仿宋_GB2312"/>
          <w:color w:val="auto"/>
          <w:sz w:val="32"/>
          <w:szCs w:val="32"/>
          <w:lang w:eastAsia="zh-CN"/>
        </w:rPr>
        <w:t>打造胶东地区标准化、集约化、规模化和产品信息可追溯的现代中药材物流基地。</w:t>
      </w:r>
      <w:r>
        <w:rPr>
          <w:rFonts w:hint="eastAsia" w:ascii="仿宋_GB2312" w:hAnsi="仿宋_GB2312" w:eastAsia="仿宋_GB2312" w:cs="仿宋_GB2312"/>
          <w:color w:val="auto"/>
          <w:sz w:val="32"/>
          <w:szCs w:val="40"/>
        </w:rPr>
        <w:t>引导医疗机构</w:t>
      </w:r>
      <w:r>
        <w:rPr>
          <w:rFonts w:hint="eastAsia" w:ascii="仿宋_GB2312" w:hAnsi="仿宋_GB2312" w:eastAsia="仿宋_GB2312" w:cs="仿宋_GB2312"/>
          <w:color w:val="auto"/>
          <w:sz w:val="32"/>
          <w:szCs w:val="40"/>
          <w:lang w:eastAsia="zh-CN"/>
        </w:rPr>
        <w:t>、中医药企业</w:t>
      </w:r>
      <w:r>
        <w:rPr>
          <w:rFonts w:hint="eastAsia" w:ascii="仿宋_GB2312" w:hAnsi="仿宋_GB2312" w:eastAsia="仿宋_GB2312" w:cs="仿宋_GB2312"/>
          <w:color w:val="auto"/>
          <w:sz w:val="32"/>
          <w:szCs w:val="40"/>
        </w:rPr>
        <w:t>采购有质量保证、可溯源的中药材。</w:t>
      </w:r>
      <w:r>
        <w:rPr>
          <w:rFonts w:hint="eastAsia" w:ascii="仿宋_GB2312" w:hAnsi="仿宋_GB2312" w:eastAsia="仿宋_GB2312" w:cs="仿宋_GB2312"/>
          <w:color w:val="auto"/>
          <w:sz w:val="32"/>
          <w:szCs w:val="40"/>
          <w:lang w:eastAsia="zh-CN"/>
        </w:rPr>
        <w:t>各区市人民政府要加大中医药产业支持力度，在资金、土地、市场等方面给予扶持。</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color w:val="auto"/>
          <w:sz w:val="32"/>
          <w:szCs w:val="32"/>
          <w:highlight w:val="none"/>
          <w:lang w:val="en-US" w:eastAsia="zh-CN"/>
        </w:rPr>
        <w:t>牵头单位：市卫生健康委，参与部门：</w:t>
      </w:r>
      <w:r>
        <w:rPr>
          <w:rFonts w:hint="eastAsia" w:ascii="楷体_GB2312" w:hAnsi="楷体_GB2312" w:eastAsia="楷体_GB2312" w:cs="楷体_GB2312"/>
          <w:color w:val="auto"/>
          <w:sz w:val="32"/>
          <w:szCs w:val="32"/>
        </w:rPr>
        <w:t>市发展改革委、市农业农村局、市市场监管局</w:t>
      </w:r>
      <w:r>
        <w:rPr>
          <w:rFonts w:hint="eastAsia" w:ascii="楷体_GB2312" w:hAnsi="楷体_GB2312" w:eastAsia="楷体_GB2312" w:cs="楷体_GB2312"/>
          <w:color w:val="auto"/>
          <w:sz w:val="32"/>
          <w:szCs w:val="32"/>
          <w:lang w:eastAsia="zh-CN"/>
        </w:rPr>
        <w:t>，</w:t>
      </w:r>
      <w:r>
        <w:rPr>
          <w:rFonts w:hint="eastAsia" w:ascii="仿宋" w:hAnsi="仿宋" w:eastAsia="仿宋" w:cs="仿宋"/>
          <w:color w:val="auto"/>
          <w:sz w:val="32"/>
          <w:szCs w:val="32"/>
          <w:highlight w:val="none"/>
        </w:rPr>
        <w:t>各区市政府、管委</w:t>
      </w:r>
      <w:r>
        <w:rPr>
          <w:rFonts w:hint="eastAsia" w:ascii="楷体_GB2312" w:hAnsi="楷体_GB2312" w:eastAsia="楷体_GB2312" w:cs="楷体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1"/>
          <w:sz w:val="32"/>
          <w:szCs w:val="32"/>
          <w:lang w:eastAsia="zh-CN"/>
        </w:rPr>
      </w:pPr>
      <w:r>
        <w:rPr>
          <w:rStyle w:val="15"/>
          <w:rFonts w:hint="eastAsia" w:ascii="仿宋_GB2312" w:hAnsi="仿宋_GB2312" w:eastAsia="仿宋_GB2312" w:cs="仿宋_GB2312"/>
          <w:b w:val="0"/>
          <w:bCs w:val="0"/>
          <w:color w:val="auto"/>
          <w:sz w:val="32"/>
          <w:szCs w:val="32"/>
          <w:lang w:val="en-US" w:eastAsia="zh-CN"/>
        </w:rPr>
        <w:t>34.</w:t>
      </w:r>
      <w:r>
        <w:rPr>
          <w:rFonts w:hint="eastAsia" w:ascii="仿宋_GB2312" w:eastAsia="仿宋_GB2312"/>
          <w:color w:val="auto"/>
          <w:sz w:val="32"/>
          <w:szCs w:val="32"/>
        </w:rPr>
        <w:t>加快发展现代中药。用3</w:t>
      </w:r>
      <w:r>
        <w:rPr>
          <w:rFonts w:ascii="仿宋_GB2312" w:eastAsia="仿宋_GB2312"/>
          <w:color w:val="auto"/>
          <w:sz w:val="32"/>
          <w:szCs w:val="32"/>
        </w:rPr>
        <w:t>-5</w:t>
      </w:r>
      <w:r>
        <w:rPr>
          <w:rFonts w:hint="eastAsia" w:ascii="仿宋_GB2312" w:eastAsia="仿宋_GB2312"/>
          <w:color w:val="auto"/>
          <w:sz w:val="32"/>
          <w:szCs w:val="32"/>
        </w:rPr>
        <w:t>年时间，培育</w:t>
      </w:r>
      <w:r>
        <w:rPr>
          <w:rFonts w:ascii="仿宋_GB2312" w:eastAsia="仿宋_GB2312"/>
          <w:color w:val="auto"/>
          <w:sz w:val="32"/>
          <w:szCs w:val="32"/>
        </w:rPr>
        <w:t>1</w:t>
      </w:r>
      <w:r>
        <w:rPr>
          <w:rFonts w:hint="eastAsia" w:ascii="仿宋_GB2312" w:eastAsia="仿宋_GB2312"/>
          <w:color w:val="auto"/>
          <w:sz w:val="32"/>
          <w:szCs w:val="32"/>
        </w:rPr>
        <w:t>个</w:t>
      </w:r>
      <w:r>
        <w:rPr>
          <w:rFonts w:ascii="仿宋_GB2312" w:eastAsia="仿宋_GB2312"/>
          <w:color w:val="auto"/>
          <w:sz w:val="32"/>
          <w:szCs w:val="32"/>
        </w:rPr>
        <w:t>以上</w:t>
      </w:r>
      <w:r>
        <w:rPr>
          <w:rFonts w:hint="eastAsia" w:ascii="仿宋_GB2312" w:eastAsia="仿宋_GB2312"/>
          <w:color w:val="auto"/>
          <w:sz w:val="32"/>
          <w:szCs w:val="32"/>
        </w:rPr>
        <w:t>中医药产业集群，纳入市</w:t>
      </w:r>
      <w:r>
        <w:rPr>
          <w:rFonts w:hint="eastAsia" w:ascii="仿宋_GB2312" w:eastAsia="仿宋_GB2312"/>
          <w:color w:val="auto"/>
          <w:sz w:val="32"/>
          <w:szCs w:val="32"/>
          <w:lang w:eastAsia="zh-CN"/>
        </w:rPr>
        <w:t>医养健康</w:t>
      </w:r>
      <w:r>
        <w:rPr>
          <w:rFonts w:ascii="仿宋_GB2312" w:eastAsia="仿宋_GB2312"/>
          <w:color w:val="auto"/>
          <w:sz w:val="32"/>
          <w:szCs w:val="32"/>
        </w:rPr>
        <w:t>产业集群</w:t>
      </w:r>
      <w:r>
        <w:rPr>
          <w:rFonts w:hint="eastAsia" w:ascii="仿宋_GB2312" w:eastAsia="仿宋_GB2312"/>
          <w:color w:val="auto"/>
          <w:sz w:val="32"/>
          <w:szCs w:val="32"/>
        </w:rPr>
        <w:t>进行</w:t>
      </w:r>
      <w:r>
        <w:rPr>
          <w:rFonts w:hint="eastAsia" w:ascii="仿宋_GB2312" w:eastAsia="仿宋_GB2312"/>
          <w:color w:val="auto"/>
          <w:sz w:val="32"/>
          <w:szCs w:val="32"/>
          <w:lang w:eastAsia="zh-CN"/>
        </w:rPr>
        <w:t>重点</w:t>
      </w:r>
      <w:r>
        <w:rPr>
          <w:rFonts w:hint="eastAsia" w:ascii="仿宋_GB2312" w:eastAsia="仿宋_GB2312"/>
          <w:color w:val="auto"/>
          <w:sz w:val="32"/>
          <w:szCs w:val="32"/>
        </w:rPr>
        <w:t>培育。培育1</w:t>
      </w:r>
      <w:r>
        <w:rPr>
          <w:rFonts w:ascii="仿宋_GB2312" w:eastAsia="仿宋_GB2312"/>
          <w:color w:val="auto"/>
          <w:sz w:val="32"/>
          <w:szCs w:val="32"/>
        </w:rPr>
        <w:t>-3</w:t>
      </w:r>
      <w:r>
        <w:rPr>
          <w:rFonts w:hint="eastAsia" w:ascii="仿宋_GB2312" w:eastAsia="仿宋_GB2312"/>
          <w:color w:val="auto"/>
          <w:sz w:val="32"/>
          <w:szCs w:val="32"/>
        </w:rPr>
        <w:t>家规模以上中药生产企业。研制</w:t>
      </w:r>
      <w:r>
        <w:rPr>
          <w:rFonts w:ascii="仿宋_GB2312" w:eastAsia="仿宋_GB2312"/>
          <w:color w:val="auto"/>
          <w:sz w:val="32"/>
          <w:szCs w:val="32"/>
        </w:rPr>
        <w:t>5</w:t>
      </w:r>
      <w:r>
        <w:rPr>
          <w:rFonts w:hint="eastAsia" w:ascii="仿宋_GB2312" w:eastAsia="仿宋_GB2312"/>
          <w:color w:val="auto"/>
          <w:sz w:val="32"/>
          <w:szCs w:val="32"/>
        </w:rPr>
        <w:t>种以我市道地药材为主要原料的中药新药或者保健品。支持建设全市中医药产业贸易平台和电子化商业物流交易平台。</w:t>
      </w:r>
      <w:r>
        <w:rPr>
          <w:rFonts w:hint="eastAsia" w:ascii="仿宋_GB2312" w:hAnsi="仿宋_GB2312" w:eastAsia="仿宋_GB2312" w:cs="仿宋_GB2312"/>
          <w:color w:val="auto"/>
          <w:kern w:val="21"/>
          <w:sz w:val="32"/>
          <w:szCs w:val="32"/>
        </w:rPr>
        <w:t>到2025年</w:t>
      </w:r>
      <w:r>
        <w:rPr>
          <w:rFonts w:ascii="仿宋_GB2312" w:hAnsi="仿宋_GB2312" w:eastAsia="仿宋_GB2312" w:cs="仿宋_GB2312"/>
          <w:color w:val="auto"/>
          <w:kern w:val="21"/>
          <w:sz w:val="32"/>
          <w:szCs w:val="32"/>
        </w:rPr>
        <w:t>，全市中医药</w:t>
      </w:r>
      <w:r>
        <w:rPr>
          <w:rFonts w:hint="eastAsia" w:ascii="仿宋_GB2312" w:hAnsi="仿宋_GB2312" w:eastAsia="仿宋_GB2312" w:cs="仿宋_GB2312"/>
          <w:color w:val="auto"/>
          <w:kern w:val="21"/>
          <w:sz w:val="32"/>
          <w:szCs w:val="32"/>
        </w:rPr>
        <w:t>产业</w:t>
      </w:r>
      <w:r>
        <w:rPr>
          <w:rFonts w:ascii="仿宋_GB2312" w:hAnsi="仿宋_GB2312" w:eastAsia="仿宋_GB2312" w:cs="仿宋_GB2312"/>
          <w:color w:val="auto"/>
          <w:kern w:val="21"/>
          <w:sz w:val="32"/>
          <w:szCs w:val="32"/>
        </w:rPr>
        <w:t>总收入</w:t>
      </w:r>
      <w:r>
        <w:rPr>
          <w:rFonts w:hint="eastAsia" w:ascii="仿宋_GB2312" w:hAnsi="仿宋_GB2312" w:eastAsia="仿宋_GB2312" w:cs="仿宋_GB2312"/>
          <w:color w:val="auto"/>
          <w:kern w:val="21"/>
          <w:sz w:val="32"/>
          <w:szCs w:val="32"/>
        </w:rPr>
        <w:t>突破60亿元</w:t>
      </w:r>
      <w:r>
        <w:rPr>
          <w:rFonts w:ascii="仿宋_GB2312" w:hAnsi="仿宋_GB2312" w:eastAsia="仿宋_GB2312" w:cs="仿宋_GB2312"/>
          <w:color w:val="auto"/>
          <w:kern w:val="21"/>
          <w:sz w:val="32"/>
          <w:szCs w:val="32"/>
        </w:rPr>
        <w:t>。</w:t>
      </w:r>
      <w:r>
        <w:rPr>
          <w:rFonts w:hint="eastAsia" w:ascii="仿宋_GB2312" w:hAnsi="仿宋_GB2312" w:eastAsia="仿宋_GB2312" w:cs="仿宋_GB2312"/>
          <w:color w:val="auto"/>
          <w:kern w:val="21"/>
          <w:sz w:val="32"/>
          <w:szCs w:val="32"/>
          <w:lang w:eastAsia="zh-CN"/>
        </w:rPr>
        <w:t>（</w:t>
      </w:r>
      <w:r>
        <w:rPr>
          <w:rFonts w:hint="eastAsia" w:ascii="仿宋_GB2312" w:hAnsi="仿宋_GB2312" w:eastAsia="仿宋_GB2312" w:cs="仿宋_GB2312"/>
          <w:color w:val="auto"/>
          <w:sz w:val="32"/>
          <w:szCs w:val="32"/>
          <w:highlight w:val="none"/>
          <w:lang w:val="en-US" w:eastAsia="zh-CN"/>
        </w:rPr>
        <w:t>牵头单位：市卫生健康委，参与部门：</w:t>
      </w:r>
      <w:r>
        <w:rPr>
          <w:rFonts w:hint="eastAsia" w:ascii="仿宋_GB2312" w:hAnsi="仿宋_GB2312" w:eastAsia="仿宋_GB2312" w:cs="仿宋_GB2312"/>
          <w:color w:val="auto"/>
          <w:kern w:val="21"/>
          <w:sz w:val="32"/>
          <w:szCs w:val="32"/>
          <w:lang w:eastAsia="zh-CN"/>
        </w:rPr>
        <w:t>市发改委、市科技局、市商务局、市市场监管局）</w:t>
      </w:r>
    </w:p>
    <w:p>
      <w:pPr>
        <w:spacing w:after="78" w:afterLines="25" w:line="360" w:lineRule="auto"/>
        <w:jc w:val="center"/>
        <w:rPr>
          <w:rFonts w:hint="eastAsia" w:ascii="仿宋_GB2312" w:hAnsi="仿宋_GB2312" w:eastAsia="仿宋_GB2312" w:cs="仿宋_GB2312"/>
          <w:color w:val="FF0000"/>
          <w:sz w:val="32"/>
          <w:szCs w:val="32"/>
          <w:highlight w:val="none"/>
          <w:lang w:val="en-US" w:eastAsia="zh-CN"/>
        </w:rPr>
      </w:pPr>
    </w:p>
    <w:p>
      <w:pPr>
        <w:spacing w:after="78" w:afterLines="25"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专栏</w:t>
      </w: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 xml:space="preserve"> 中医药</w:t>
      </w:r>
      <w:r>
        <w:rPr>
          <w:rFonts w:hint="eastAsia" w:ascii="仿宋" w:hAnsi="仿宋" w:eastAsia="仿宋" w:cs="仿宋"/>
          <w:b/>
          <w:bCs/>
          <w:color w:val="auto"/>
          <w:sz w:val="32"/>
          <w:szCs w:val="32"/>
          <w:lang w:eastAsia="zh-CN"/>
        </w:rPr>
        <w:t>传承创新</w:t>
      </w:r>
      <w:r>
        <w:rPr>
          <w:rFonts w:hint="eastAsia" w:ascii="仿宋" w:hAnsi="仿宋" w:eastAsia="仿宋" w:cs="仿宋"/>
          <w:b/>
          <w:bCs/>
          <w:color w:val="auto"/>
          <w:sz w:val="32"/>
          <w:szCs w:val="32"/>
        </w:rPr>
        <w:t>项目</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643" w:firstLineChars="200"/>
              <w:rPr>
                <w:rFonts w:hint="eastAsia" w:ascii="仿宋" w:hAnsi="仿宋" w:eastAsia="仿宋" w:cs="仿宋"/>
                <w:color w:val="auto"/>
                <w:sz w:val="32"/>
                <w:szCs w:val="32"/>
              </w:rPr>
            </w:pPr>
            <w:r>
              <w:rPr>
                <w:rFonts w:hint="eastAsia" w:ascii="仿宋" w:hAnsi="仿宋" w:eastAsia="仿宋" w:cs="仿宋"/>
                <w:b/>
                <w:bCs/>
                <w:color w:val="auto"/>
                <w:sz w:val="32"/>
                <w:szCs w:val="32"/>
              </w:rPr>
              <w:t>中医药服务能力提升工程：</w:t>
            </w:r>
            <w:r>
              <w:rPr>
                <w:rFonts w:hint="eastAsia" w:ascii="仿宋" w:hAnsi="仿宋" w:eastAsia="仿宋" w:cs="仿宋"/>
                <w:color w:val="auto"/>
                <w:sz w:val="32"/>
                <w:szCs w:val="32"/>
              </w:rPr>
              <w:t>争创省级区域中医医疗中心；创建1-2个省级中医专科联盟牵头专科、30个成员专科，每个省级以上重点专科专病归纳整理1-3个中西医结合诊疗方案。建设市级中医药重点专科30个，100%的县级中医医院达到国家医疗服务能力推荐标准。发挥中医药在预防保健、康复中的独特作用，每所公立中医医院打造1个在区域内有广泛影响的治未病中心，培育推广20项中医药预防保健（治未病）干预方案。</w:t>
            </w:r>
          </w:p>
          <w:p>
            <w:pPr>
              <w:spacing w:line="360" w:lineRule="auto"/>
              <w:ind w:firstLine="643" w:firstLineChars="200"/>
              <w:rPr>
                <w:rFonts w:hint="eastAsia" w:ascii="仿宋" w:hAnsi="仿宋" w:eastAsia="仿宋" w:cs="仿宋"/>
                <w:color w:val="auto"/>
                <w:sz w:val="32"/>
                <w:szCs w:val="32"/>
              </w:rPr>
            </w:pPr>
            <w:bookmarkStart w:id="14" w:name="_Toc72263457"/>
            <w:r>
              <w:rPr>
                <w:rFonts w:hint="eastAsia" w:ascii="仿宋" w:hAnsi="仿宋" w:eastAsia="仿宋" w:cs="仿宋"/>
                <w:b/>
                <w:bCs/>
                <w:color w:val="auto"/>
                <w:sz w:val="32"/>
                <w:szCs w:val="32"/>
              </w:rPr>
              <w:t>中医药人才建设工程：</w:t>
            </w:r>
            <w:r>
              <w:rPr>
                <w:rFonts w:hint="eastAsia" w:ascii="仿宋" w:hAnsi="仿宋" w:eastAsia="仿宋" w:cs="仿宋"/>
                <w:color w:val="auto"/>
                <w:sz w:val="32"/>
                <w:szCs w:val="32"/>
              </w:rPr>
              <w:t>完善师承教育模式，县级以上师承指导老师达到50名。以中医经典理论、辨证思维、临床能力和工作实绩为重点，构建符合中医药规律、促进中医药发展的中医药人才评价标准，设置符合中医药特点的评价指标。着力培育高层次人才</w:t>
            </w:r>
            <w:bookmarkEnd w:id="14"/>
            <w:r>
              <w:rPr>
                <w:rFonts w:hint="eastAsia" w:ascii="仿宋" w:hAnsi="仿宋" w:eastAsia="仿宋" w:cs="仿宋"/>
                <w:color w:val="auto"/>
                <w:sz w:val="32"/>
                <w:szCs w:val="32"/>
              </w:rPr>
              <w:t>，对创建成国家级、省级和市级名老中医药专家传承工作室的，市财政分别给予20万元、15万元、10万元一次性专项补助。</w:t>
            </w:r>
          </w:p>
          <w:p>
            <w:pPr>
              <w:spacing w:line="360" w:lineRule="auto"/>
              <w:ind w:firstLine="643" w:firstLineChars="200"/>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中医药文化弘扬传承工程：</w:t>
            </w:r>
            <w:r>
              <w:rPr>
                <w:rFonts w:hint="eastAsia" w:ascii="仿宋" w:hAnsi="仿宋" w:eastAsia="仿宋" w:cs="仿宋"/>
                <w:color w:val="auto"/>
                <w:sz w:val="32"/>
                <w:szCs w:val="32"/>
                <w:lang w:val="en-US" w:eastAsia="zh-CN"/>
              </w:rPr>
              <w:t>支持中医药宣传教育基地、中医药文化知识角等建设，依托市级中医药文化科普巡讲团，推进中医药文化进校园、进机构、进乡村、进社区、进家庭等。加强中医药古籍挖掘整理、中医药文化宣传普及，创建以山东省中医药文化博物馆为主体的中医药文化综合体。</w:t>
            </w:r>
          </w:p>
          <w:p>
            <w:pPr>
              <w:spacing w:line="360" w:lineRule="auto"/>
              <w:ind w:firstLine="643" w:firstLineChars="200"/>
              <w:rPr>
                <w:rFonts w:hint="eastAsia" w:ascii="仿宋" w:hAnsi="仿宋" w:eastAsia="仿宋" w:cs="仿宋"/>
                <w:color w:val="auto"/>
                <w:sz w:val="32"/>
                <w:szCs w:val="32"/>
              </w:rPr>
            </w:pPr>
            <w:r>
              <w:rPr>
                <w:rFonts w:hint="eastAsia" w:ascii="仿宋" w:hAnsi="仿宋" w:eastAsia="仿宋" w:cs="仿宋"/>
                <w:b/>
                <w:bCs/>
                <w:color w:val="auto"/>
                <w:kern w:val="2"/>
                <w:sz w:val="32"/>
                <w:szCs w:val="32"/>
                <w:lang w:val="en-US" w:eastAsia="zh-CN" w:bidi="ar-SA"/>
              </w:rPr>
              <w:t>中医药信息化工程：</w:t>
            </w:r>
            <w:r>
              <w:rPr>
                <w:rFonts w:hint="eastAsia" w:ascii="仿宋" w:hAnsi="仿宋" w:eastAsia="仿宋" w:cs="仿宋"/>
                <w:b w:val="0"/>
                <w:bCs w:val="0"/>
                <w:color w:val="auto"/>
                <w:kern w:val="2"/>
                <w:sz w:val="32"/>
                <w:szCs w:val="32"/>
                <w:lang w:val="en-US" w:eastAsia="zh-CN" w:bidi="ar-SA"/>
              </w:rPr>
              <w:t>实施“互联网+中医药健康服务”行动，政府办中医医院全部接入市惠民便民服务平台。三级中医医院达到电子病历应用水平分级评价4级以上，二级中医医院达到3级以上。利用“互联网+”技术，在全市二级以上公立中医医院推广建设“智慧中药房”服务平台，为百姓提供安全便捷的中医药服务。</w:t>
            </w:r>
          </w:p>
        </w:tc>
      </w:tr>
    </w:tbl>
    <w:p>
      <w:pPr>
        <w:numPr>
          <w:ilvl w:val="255"/>
          <w:numId w:val="0"/>
        </w:numPr>
        <w:rPr>
          <w:rFonts w:hint="eastAsia" w:ascii="仿宋" w:hAnsi="仿宋" w:eastAsia="仿宋" w:cs="仿宋"/>
          <w:color w:val="auto"/>
          <w:sz w:val="32"/>
          <w:szCs w:val="32"/>
        </w:rPr>
      </w:pPr>
    </w:p>
    <w:p>
      <w:pPr>
        <w:pStyle w:val="3"/>
        <w:bidi w:val="0"/>
        <w:ind w:firstLine="643" w:firstLineChars="200"/>
        <w:rPr>
          <w:rFonts w:hint="eastAsia" w:ascii="楷体" w:hAnsi="楷体" w:eastAsia="楷体" w:cs="楷体"/>
          <w:color w:val="auto"/>
          <w:sz w:val="32"/>
          <w:szCs w:val="32"/>
        </w:rPr>
      </w:pPr>
      <w:bookmarkStart w:id="15" w:name="_Toc19350"/>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七</w:t>
      </w:r>
      <w:r>
        <w:rPr>
          <w:rFonts w:hint="eastAsia" w:ascii="楷体" w:hAnsi="楷体" w:eastAsia="楷体" w:cs="楷体"/>
          <w:color w:val="auto"/>
          <w:sz w:val="32"/>
          <w:szCs w:val="32"/>
        </w:rPr>
        <w:t>）推动医养健康产业高质量发展</w:t>
      </w:r>
      <w:bookmarkEnd w:id="15"/>
    </w:p>
    <w:p>
      <w:pPr>
        <w:keepNext w:val="0"/>
        <w:keepLines w:val="0"/>
        <w:pageBreakBefore w:val="0"/>
        <w:widowControl w:val="0"/>
        <w:kinsoku/>
        <w:wordWrap/>
        <w:overflowPunct/>
        <w:topLinePunct w:val="0"/>
        <w:autoSpaceDE/>
        <w:autoSpaceDN/>
        <w:bidi w:val="0"/>
        <w:adjustRightInd/>
        <w:snapToGrid/>
        <w:spacing w:after="78" w:afterLines="25" w:line="360" w:lineRule="auto"/>
        <w:ind w:firstLine="640" w:firstLineChars="200"/>
        <w:jc w:val="both"/>
        <w:textAlignment w:val="auto"/>
        <w:rPr>
          <w:rFonts w:hint="eastAsia" w:ascii="仿宋" w:hAnsi="仿宋" w:eastAsia="仿宋" w:cs="仿宋"/>
          <w:b/>
          <w:bCs/>
          <w:color w:val="auto"/>
          <w:sz w:val="32"/>
          <w:szCs w:val="32"/>
        </w:rPr>
      </w:pPr>
      <w:r>
        <w:rPr>
          <w:rFonts w:hint="eastAsia" w:ascii="仿宋_GB2312" w:hAnsi="仿宋_GB2312" w:eastAsia="仿宋_GB2312" w:cs="仿宋_GB2312"/>
          <w:b w:val="0"/>
          <w:bCs w:val="0"/>
          <w:color w:val="auto"/>
          <w:sz w:val="32"/>
          <w:szCs w:val="32"/>
          <w:lang w:val="en-US" w:eastAsia="zh-CN"/>
        </w:rPr>
        <w:t>35.</w:t>
      </w:r>
      <w:r>
        <w:rPr>
          <w:rFonts w:hint="eastAsia" w:ascii="仿宋" w:hAnsi="仿宋" w:eastAsia="仿宋" w:cs="仿宋"/>
          <w:color w:val="auto"/>
          <w:sz w:val="32"/>
          <w:szCs w:val="32"/>
          <w:lang w:eastAsia="zh-CN"/>
        </w:rPr>
        <w:t>做大做强</w:t>
      </w:r>
      <w:r>
        <w:rPr>
          <w:rFonts w:hint="eastAsia" w:ascii="仿宋" w:hAnsi="仿宋" w:eastAsia="仿宋" w:cs="仿宋"/>
          <w:color w:val="auto"/>
          <w:sz w:val="32"/>
          <w:szCs w:val="32"/>
        </w:rPr>
        <w:t>医养健康产业集群。</w:t>
      </w:r>
      <w:r>
        <w:rPr>
          <w:rFonts w:hint="eastAsia" w:ascii="仿宋" w:hAnsi="仿宋" w:eastAsia="仿宋" w:cs="仿宋"/>
          <w:color w:val="auto"/>
          <w:sz w:val="32"/>
          <w:szCs w:val="32"/>
          <w:lang w:eastAsia="zh-CN"/>
        </w:rPr>
        <w:t>以</w:t>
      </w:r>
      <w:r>
        <w:rPr>
          <w:rFonts w:hint="eastAsia" w:ascii="仿宋_GB2312" w:hAnsi="仿宋_GB2312" w:eastAsia="仿宋_GB2312" w:cs="仿宋_GB2312"/>
          <w:b w:val="0"/>
          <w:bCs w:val="0"/>
          <w:color w:val="auto"/>
          <w:sz w:val="32"/>
          <w:szCs w:val="32"/>
          <w:lang w:val="en-US" w:eastAsia="zh-CN"/>
        </w:rPr>
        <w:t>自主研发创新</w:t>
      </w:r>
      <w:r>
        <w:rPr>
          <w:rFonts w:hint="eastAsia" w:ascii="仿宋_GB2312" w:hAnsi="仿宋_GB2312" w:eastAsia="仿宋_GB2312" w:cs="仿宋_GB2312"/>
          <w:b w:val="0"/>
          <w:bCs w:val="0"/>
          <w:color w:val="auto"/>
          <w:sz w:val="32"/>
          <w:szCs w:val="32"/>
        </w:rPr>
        <w:t>药品</w:t>
      </w:r>
      <w:r>
        <w:rPr>
          <w:rFonts w:hint="eastAsia" w:ascii="仿宋_GB2312" w:hAnsi="仿宋_GB2312" w:eastAsia="仿宋_GB2312" w:cs="仿宋_GB2312"/>
          <w:b w:val="0"/>
          <w:bCs w:val="0"/>
          <w:color w:val="auto"/>
          <w:sz w:val="32"/>
          <w:szCs w:val="32"/>
          <w:lang w:eastAsia="zh-CN"/>
        </w:rPr>
        <w:t>为主导</w:t>
      </w:r>
      <w:r>
        <w:rPr>
          <w:rFonts w:hint="eastAsia" w:ascii="仿宋_GB2312" w:hAnsi="仿宋_GB2312" w:eastAsia="仿宋_GB2312" w:cs="仿宋_GB2312"/>
          <w:b w:val="0"/>
          <w:bCs w:val="0"/>
          <w:color w:val="auto"/>
          <w:sz w:val="32"/>
          <w:szCs w:val="32"/>
        </w:rPr>
        <w:t>，以打造国际生命科学创新示范城市为目标，以构建产业垂直生态体系为主线，实行生物医药产业链长制工作机制，围绕八大细分领域，加强产业链建链、延链、补链、强链</w:t>
      </w:r>
      <w:r>
        <w:rPr>
          <w:rFonts w:hint="eastAsia" w:ascii="仿宋_GB2312" w:hAnsi="仿宋_GB2312" w:eastAsia="仿宋_GB2312" w:cs="仿宋_GB2312"/>
          <w:b w:val="0"/>
          <w:bCs w:val="0"/>
          <w:color w:val="auto"/>
          <w:sz w:val="32"/>
          <w:szCs w:val="32"/>
          <w:lang w:eastAsia="zh-CN"/>
        </w:rPr>
        <w:t>。加速建设生命科学创新引领核心区、高端药械集聚发展区、生命健康融合发展示范区、高端原料药绿色承载区，构建“1+3+X”生物医药产业布局。支持研发创新和产业化、公共服务平台建设、企业集聚发展、建设专业化园区、加速国际化进程、强化医保支持、加强知识产权保护、加快人才集聚等方面制定扶持政策，支持医养健康</w:t>
      </w:r>
      <w:r>
        <w:rPr>
          <w:rFonts w:hint="eastAsia" w:ascii="仿宋_GB2312" w:hAnsi="仿宋_GB2312" w:eastAsia="仿宋_GB2312" w:cs="仿宋_GB2312"/>
          <w:b w:val="0"/>
          <w:bCs w:val="0"/>
          <w:color w:val="auto"/>
          <w:sz w:val="32"/>
          <w:szCs w:val="32"/>
          <w:lang w:val="en-US" w:eastAsia="zh-CN"/>
        </w:rPr>
        <w:t>企业做大做强。积极推进健康体育、健康文旅、健康食品发展，在文旅康养、体医融合、健康食品研发等方面打造“烟台品牌”。建设一批特色明显、</w:t>
      </w:r>
      <w:r>
        <w:rPr>
          <w:rFonts w:hint="eastAsia" w:ascii="Times New Roman" w:hAnsi="Times New Roman" w:eastAsia="仿宋_GB2312"/>
          <w:color w:val="auto"/>
          <w:sz w:val="32"/>
          <w:szCs w:val="32"/>
        </w:rPr>
        <w:t>资源丰富</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功能</w:t>
      </w:r>
      <w:r>
        <w:rPr>
          <w:rFonts w:hint="eastAsia" w:ascii="Times New Roman" w:hAnsi="Times New Roman" w:eastAsia="仿宋_GB2312"/>
          <w:color w:val="auto"/>
          <w:sz w:val="32"/>
          <w:szCs w:val="32"/>
          <w:lang w:eastAsia="zh-CN"/>
        </w:rPr>
        <w:t>完备的健康小镇</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创建省级文旅康养示范基地和</w:t>
      </w:r>
      <w:r>
        <w:rPr>
          <w:rFonts w:hint="eastAsia" w:ascii="仿宋_GB2312" w:eastAsia="仿宋_GB2312"/>
          <w:color w:val="auto"/>
          <w:sz w:val="32"/>
          <w:szCs w:val="32"/>
        </w:rPr>
        <w:t>中医药特色</w:t>
      </w:r>
      <w:r>
        <w:rPr>
          <w:rFonts w:hint="eastAsia" w:ascii="仿宋_GB2312" w:eastAsia="仿宋_GB2312"/>
          <w:color w:val="auto"/>
          <w:sz w:val="32"/>
          <w:szCs w:val="32"/>
          <w:lang w:eastAsia="zh-CN"/>
        </w:rPr>
        <w:t>康养小镇。推出更多体医融合试点项目进入省体医融合项目培育库。加大营养保健食品和海洋健康食品的研发，向社会提供科学安全有效的功能食品，建设健康食品城。</w:t>
      </w:r>
      <w:r>
        <w:rPr>
          <w:rFonts w:hint="eastAsia" w:ascii="仿宋_GB2312" w:hAnsi="仿宋_GB2312" w:eastAsia="仿宋_GB2312" w:cs="仿宋_GB2312"/>
          <w:color w:val="auto"/>
          <w:sz w:val="32"/>
          <w:szCs w:val="32"/>
          <w:highlight w:val="none"/>
          <w:lang w:val="en-US" w:eastAsia="zh-CN"/>
        </w:rPr>
        <w:t>到2025年，医养健康产业</w:t>
      </w:r>
      <w:r>
        <w:rPr>
          <w:rFonts w:hint="eastAsia" w:ascii="仿宋_GB2312" w:hAnsi="微软雅黑" w:eastAsia="仿宋_GB2312"/>
          <w:color w:val="auto"/>
          <w:sz w:val="32"/>
          <w:szCs w:val="32"/>
          <w:highlight w:val="none"/>
          <w:lang w:val="en-US" w:eastAsia="zh-CN"/>
        </w:rPr>
        <w:t>力争</w:t>
      </w:r>
      <w:r>
        <w:rPr>
          <w:rFonts w:hint="eastAsia" w:ascii="仿宋_GB2312" w:hAnsi="仿宋_GB2312" w:eastAsia="仿宋_GB2312" w:cs="仿宋_GB2312"/>
          <w:color w:val="auto"/>
          <w:sz w:val="32"/>
          <w:szCs w:val="32"/>
          <w:highlight w:val="none"/>
          <w:lang w:val="en-US" w:eastAsia="zh-CN"/>
        </w:rPr>
        <w:t>突破2000亿元，产业整体实力和创新能力大幅跃升。（牵头单位：市卫生健康委、市市场监管局；参与部门：市发改委、市科技局、市民政局、市文化和旅游局、市体育局、市医保局）</w:t>
      </w:r>
    </w:p>
    <w:p>
      <w:pPr>
        <w:spacing w:after="78" w:afterLines="25" w:line="360" w:lineRule="auto"/>
        <w:jc w:val="center"/>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专栏</w:t>
      </w:r>
      <w:r>
        <w:rPr>
          <w:rFonts w:hint="eastAsia" w:ascii="仿宋" w:hAnsi="仿宋" w:eastAsia="仿宋" w:cs="仿宋"/>
          <w:b/>
          <w:bCs/>
          <w:color w:val="auto"/>
          <w:sz w:val="32"/>
          <w:szCs w:val="32"/>
          <w:lang w:val="en-US" w:eastAsia="zh-CN"/>
        </w:rPr>
        <w:t>7</w:t>
      </w:r>
      <w:r>
        <w:rPr>
          <w:rFonts w:hint="eastAsia" w:ascii="仿宋" w:hAnsi="仿宋" w:eastAsia="仿宋" w:cs="仿宋"/>
          <w:b/>
          <w:bCs/>
          <w:color w:val="auto"/>
          <w:sz w:val="32"/>
          <w:szCs w:val="32"/>
        </w:rPr>
        <w:t xml:space="preserve"> </w:t>
      </w:r>
      <w:r>
        <w:rPr>
          <w:rFonts w:hint="eastAsia" w:ascii="仿宋" w:hAnsi="仿宋" w:eastAsia="仿宋" w:cs="仿宋"/>
          <w:b/>
          <w:bCs/>
          <w:color w:val="auto"/>
          <w:sz w:val="32"/>
          <w:szCs w:val="32"/>
          <w:lang w:eastAsia="zh-CN"/>
        </w:rPr>
        <w:t>壮大发展医养药健康产业集群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640" w:firstLineChars="200"/>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 xml:space="preserve"> </w:t>
            </w:r>
            <w:r>
              <w:rPr>
                <w:rFonts w:hint="eastAsia" w:ascii="仿宋" w:hAnsi="仿宋" w:eastAsia="仿宋" w:cs="仿宋"/>
                <w:color w:val="auto"/>
                <w:sz w:val="32"/>
                <w:szCs w:val="32"/>
              </w:rPr>
              <w:t>打造以生物制药、高端制剂为主的烟台开发区、</w:t>
            </w:r>
            <w:r>
              <w:rPr>
                <w:rFonts w:hint="eastAsia" w:ascii="仿宋" w:hAnsi="仿宋" w:eastAsia="仿宋" w:cs="仿宋"/>
                <w:color w:val="auto"/>
                <w:sz w:val="32"/>
                <w:szCs w:val="32"/>
                <w:lang w:eastAsia="zh-CN"/>
              </w:rPr>
              <w:t>高新</w:t>
            </w:r>
            <w:r>
              <w:rPr>
                <w:rFonts w:hint="eastAsia" w:ascii="仿宋" w:hAnsi="仿宋" w:eastAsia="仿宋" w:cs="仿宋"/>
                <w:color w:val="auto"/>
                <w:sz w:val="32"/>
                <w:szCs w:val="32"/>
              </w:rPr>
              <w:t>区板块，以智慧化居家养老服务业为主的芝罘区、福山区板块。在生物制药、智慧医疗、医养结合、医养健康等领域形成一批竞争力强的优势企业、知名品牌和关键技术，医养药健康产业发展的核心竞争力显著增强。</w:t>
            </w:r>
          </w:p>
        </w:tc>
      </w:tr>
    </w:tbl>
    <w:p>
      <w:pPr>
        <w:rPr>
          <w:rFonts w:hint="eastAsia" w:ascii="仿宋" w:hAnsi="仿宋" w:eastAsia="仿宋" w:cs="仿宋"/>
          <w:color w:val="auto"/>
          <w:sz w:val="32"/>
          <w:szCs w:val="32"/>
          <w:highlight w:val="green"/>
        </w:rPr>
      </w:pPr>
    </w:p>
    <w:p>
      <w:pPr>
        <w:pStyle w:val="3"/>
        <w:bidi w:val="0"/>
        <w:ind w:firstLine="643" w:firstLineChars="200"/>
        <w:rPr>
          <w:rFonts w:hint="eastAsia" w:ascii="楷体" w:hAnsi="楷体" w:eastAsia="楷体" w:cs="楷体"/>
          <w:color w:val="auto"/>
          <w:sz w:val="32"/>
          <w:szCs w:val="32"/>
          <w:u w:val="none"/>
          <w:lang w:val="en-US" w:eastAsia="zh-CN"/>
        </w:rPr>
      </w:pPr>
      <w:r>
        <w:rPr>
          <w:rFonts w:hint="eastAsia" w:ascii="楷体" w:hAnsi="楷体" w:eastAsia="楷体" w:cs="楷体"/>
          <w:color w:val="auto"/>
          <w:sz w:val="32"/>
          <w:szCs w:val="32"/>
          <w:u w:val="none"/>
          <w:lang w:val="en-US" w:eastAsia="zh-CN"/>
        </w:rPr>
        <w:t>（八）进一步完善医疗卫生行业综合监管</w:t>
      </w:r>
    </w:p>
    <w:p>
      <w:pPr>
        <w:snapToGrid/>
        <w:spacing w:before="0" w:beforeAutospacing="0" w:after="0" w:afterAutospacing="0" w:line="360" w:lineRule="auto"/>
        <w:ind w:firstLine="640" w:firstLineChars="200"/>
        <w:jc w:val="both"/>
        <w:textAlignment w:val="baseline"/>
        <w:rPr>
          <w:rStyle w:val="16"/>
          <w:rFonts w:ascii="宋体" w:hAnsi="宋体" w:eastAsia="仿宋"/>
          <w:b w:val="0"/>
          <w:i w:val="0"/>
          <w:caps w:val="0"/>
          <w:color w:val="auto"/>
          <w:spacing w:val="0"/>
          <w:w w:val="100"/>
          <w:kern w:val="2"/>
          <w:sz w:val="32"/>
          <w:szCs w:val="32"/>
          <w:lang w:val="en-US" w:eastAsia="zh-CN" w:bidi="ar-SA"/>
        </w:rPr>
      </w:pPr>
      <w:r>
        <w:rPr>
          <w:rStyle w:val="16"/>
          <w:rFonts w:hint="eastAsia" w:ascii="宋体" w:hAnsi="宋体" w:eastAsia="仿宋"/>
          <w:b w:val="0"/>
          <w:i w:val="0"/>
          <w:caps w:val="0"/>
          <w:color w:val="auto"/>
          <w:spacing w:val="0"/>
          <w:w w:val="100"/>
          <w:kern w:val="2"/>
          <w:sz w:val="32"/>
          <w:szCs w:val="32"/>
          <w:lang w:val="en-US" w:eastAsia="zh-CN" w:bidi="ar-SA"/>
        </w:rPr>
        <w:t>36.</w:t>
      </w:r>
      <w:r>
        <w:rPr>
          <w:rStyle w:val="16"/>
          <w:rFonts w:ascii="宋体" w:hAnsi="宋体" w:eastAsia="仿宋"/>
          <w:b w:val="0"/>
          <w:i w:val="0"/>
          <w:caps w:val="0"/>
          <w:color w:val="auto"/>
          <w:spacing w:val="0"/>
          <w:w w:val="100"/>
          <w:kern w:val="2"/>
          <w:sz w:val="32"/>
          <w:szCs w:val="32"/>
          <w:lang w:val="en-US" w:eastAsia="zh-CN" w:bidi="ar-SA"/>
        </w:rPr>
        <w:t>健全医疗卫生行业综合监管督察机制，开展部门联合检查、联合执法，联合惩戒，进一步完善职责明确、分工协作、科学有效的综合监管制度。创新监管方式,推行卫生健康综合监督</w:t>
      </w:r>
      <w:r>
        <w:rPr>
          <w:rStyle w:val="16"/>
          <w:rFonts w:ascii="宋体" w:hAnsi="宋体" w:eastAsia="宋体"/>
          <w:b w:val="0"/>
          <w:i w:val="0"/>
          <w:caps w:val="0"/>
          <w:color w:val="auto"/>
          <w:spacing w:val="0"/>
          <w:w w:val="100"/>
          <w:kern w:val="2"/>
          <w:sz w:val="32"/>
          <w:szCs w:val="32"/>
          <w:lang w:val="en-US" w:eastAsia="zh-CN" w:bidi="ar-SA"/>
        </w:rPr>
        <w:t>“</w:t>
      </w:r>
      <w:r>
        <w:rPr>
          <w:rStyle w:val="16"/>
          <w:rFonts w:ascii="宋体" w:hAnsi="宋体" w:eastAsia="仿宋"/>
          <w:b w:val="0"/>
          <w:i w:val="0"/>
          <w:caps w:val="0"/>
          <w:color w:val="auto"/>
          <w:spacing w:val="0"/>
          <w:w w:val="100"/>
          <w:kern w:val="2"/>
          <w:sz w:val="32"/>
          <w:szCs w:val="32"/>
          <w:lang w:val="en-US" w:eastAsia="zh-CN" w:bidi="ar-SA"/>
        </w:rPr>
        <w:t>双随机、一公开”抽查、量化分级监管、互联网+监督、信用监督等多元化监管方式。聚焦突出问题，强化综合监督执法，打造”蓝盾行动”执法品牌，维护群众生命健康安全。加强卫生监督机构标准化建设，落实执法装备和人员配备要求。</w:t>
      </w:r>
      <w:r>
        <w:rPr>
          <w:rStyle w:val="16"/>
          <w:rFonts w:ascii="仿宋" w:hAnsi="仿宋" w:eastAsia="仿宋"/>
          <w:b w:val="0"/>
          <w:i w:val="0"/>
          <w:caps w:val="0"/>
          <w:color w:val="auto"/>
          <w:spacing w:val="0"/>
          <w:w w:val="100"/>
          <w:kern w:val="0"/>
          <w:sz w:val="32"/>
          <w:szCs w:val="32"/>
          <w:highlight w:val="none"/>
          <w:lang w:val="en-US" w:eastAsia="zh-CN"/>
        </w:rPr>
        <w:t>进一步加强食品安全风险监测、食源性疾病监测，分析影响人群健康的食源性致病因素，对食品安全风险隐患早发现、早预警、早处置。</w:t>
      </w:r>
      <w:r>
        <w:rPr>
          <w:rStyle w:val="16"/>
          <w:rFonts w:ascii="仿宋" w:hAnsi="仿宋" w:eastAsia="仿宋" w:cs="仿宋"/>
          <w:b w:val="0"/>
          <w:bCs/>
          <w:i w:val="0"/>
          <w:caps w:val="0"/>
          <w:color w:val="auto"/>
          <w:spacing w:val="0"/>
          <w:w w:val="100"/>
          <w:kern w:val="0"/>
          <w:sz w:val="32"/>
          <w:szCs w:val="32"/>
          <w:highlight w:val="none"/>
          <w:lang w:val="en-US" w:eastAsia="zh-CN"/>
        </w:rPr>
        <w:t>开展卫生健康基层食品安全试点工作。</w:t>
      </w:r>
      <w:r>
        <w:rPr>
          <w:rStyle w:val="16"/>
          <w:rFonts w:ascii="宋体" w:hAnsi="宋体" w:eastAsia="仿宋"/>
          <w:b w:val="0"/>
          <w:i w:val="0"/>
          <w:caps w:val="0"/>
          <w:color w:val="auto"/>
          <w:spacing w:val="0"/>
          <w:w w:val="100"/>
          <w:kern w:val="2"/>
          <w:sz w:val="32"/>
          <w:szCs w:val="32"/>
          <w:lang w:val="en-US" w:eastAsia="zh-CN" w:bidi="ar-SA"/>
        </w:rPr>
        <w:t>（牵头部门：市卫生健康委员会；参与部门：市医改领导小组医疗卫生行业综合监管工作专项小组成员部门）</w:t>
      </w:r>
    </w:p>
    <w:p>
      <w:pPr>
        <w:spacing w:after="78" w:afterLines="25" w:line="360" w:lineRule="auto"/>
        <w:jc w:val="center"/>
        <w:rPr>
          <w:rFonts w:hint="eastAsia" w:ascii="仿宋" w:hAnsi="仿宋" w:eastAsia="仿宋" w:cs="仿宋"/>
          <w:b/>
          <w:bCs/>
          <w:color w:val="auto"/>
          <w:sz w:val="32"/>
          <w:szCs w:val="32"/>
        </w:rPr>
      </w:pPr>
    </w:p>
    <w:p>
      <w:pPr>
        <w:spacing w:after="78" w:afterLines="25"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专栏</w:t>
      </w:r>
      <w:r>
        <w:rPr>
          <w:rFonts w:hint="eastAsia" w:ascii="仿宋" w:hAnsi="仿宋" w:eastAsia="仿宋" w:cs="仿宋"/>
          <w:b/>
          <w:bCs/>
          <w:color w:val="auto"/>
          <w:sz w:val="32"/>
          <w:szCs w:val="32"/>
          <w:lang w:val="en-US" w:eastAsia="zh-CN"/>
        </w:rPr>
        <w:t>8</w:t>
      </w:r>
      <w:r>
        <w:rPr>
          <w:rFonts w:hint="eastAsia" w:ascii="仿宋" w:hAnsi="仿宋" w:eastAsia="仿宋" w:cs="仿宋"/>
          <w:b/>
          <w:bCs/>
          <w:color w:val="auto"/>
          <w:sz w:val="32"/>
          <w:szCs w:val="32"/>
        </w:rPr>
        <w:t xml:space="preserve"> </w:t>
      </w:r>
      <w:r>
        <w:rPr>
          <w:rFonts w:hint="eastAsia" w:ascii="仿宋_GB2312" w:hAnsi="宋体" w:eastAsia="仿宋_GB2312" w:cs="楷体"/>
          <w:b/>
          <w:color w:val="auto"/>
          <w:sz w:val="32"/>
          <w:szCs w:val="32"/>
        </w:rPr>
        <w:t>打造“健康烟台，蓝盾行动”卫生监督执法品牌</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640" w:firstLineChars="200"/>
              <w:rPr>
                <w:rFonts w:hint="eastAsia" w:ascii="仿宋" w:hAnsi="仿宋" w:eastAsia="仿宋" w:cs="仿宋"/>
                <w:color w:val="auto"/>
                <w:sz w:val="32"/>
                <w:szCs w:val="32"/>
                <w:highlight w:val="green"/>
              </w:rPr>
            </w:pPr>
            <w:r>
              <w:rPr>
                <w:rFonts w:hint="eastAsia" w:ascii="宋体" w:hAnsi="宋体" w:eastAsia="仿宋"/>
                <w:b w:val="0"/>
                <w:bCs/>
                <w:color w:val="auto"/>
                <w:sz w:val="32"/>
                <w:szCs w:val="32"/>
              </w:rPr>
              <w:t>结合全市卫生健康事业发展实际，根据加强事中事</w:t>
            </w:r>
            <w:r>
              <w:rPr>
                <w:rFonts w:hint="eastAsia" w:ascii="宋体" w:hAnsi="宋体" w:eastAsia="仿宋"/>
                <w:b w:val="0"/>
                <w:bCs/>
                <w:color w:val="auto"/>
                <w:sz w:val="32"/>
                <w:szCs w:val="32"/>
                <w:lang w:eastAsia="zh-CN"/>
              </w:rPr>
              <w:t>后</w:t>
            </w:r>
            <w:r>
              <w:rPr>
                <w:rFonts w:hint="eastAsia" w:ascii="宋体" w:hAnsi="宋体" w:eastAsia="仿宋"/>
                <w:b w:val="0"/>
                <w:bCs/>
                <w:color w:val="auto"/>
                <w:sz w:val="32"/>
                <w:szCs w:val="32"/>
              </w:rPr>
              <w:t>监管工作需要和综合监督工作计划，以综合监督主题年活动为平台，不断加大执法办案力度，维护群众生命健康安全。制定卫生监督执法“蓝盾行动”方案，确定年度卫生监督专项整治重点，集中时间、集中力量在医疗卫生、公共卫生等多个专业领域打击违法行为，打造“健康烟台，蓝盾行动”卫生监督执法品牌。重点专业覆盖率、执法办案数等执法效能指标高于省卫健委评价要求。</w:t>
            </w:r>
          </w:p>
        </w:tc>
      </w:tr>
    </w:tbl>
    <w:p>
      <w:pPr>
        <w:rPr>
          <w:rFonts w:hint="eastAsia" w:ascii="仿宋" w:hAnsi="仿宋" w:eastAsia="仿宋" w:cs="仿宋"/>
          <w:color w:val="auto"/>
          <w:sz w:val="32"/>
          <w:szCs w:val="32"/>
          <w:highlight w:val="green"/>
        </w:rPr>
      </w:pPr>
    </w:p>
    <w:p>
      <w:pPr>
        <w:pStyle w:val="3"/>
        <w:bidi w:val="0"/>
        <w:ind w:firstLine="643" w:firstLineChars="200"/>
        <w:rPr>
          <w:rFonts w:hint="eastAsia" w:ascii="楷体" w:hAnsi="楷体" w:eastAsia="楷体" w:cs="楷体"/>
          <w:color w:val="auto"/>
          <w:sz w:val="32"/>
          <w:szCs w:val="32"/>
        </w:rPr>
      </w:pPr>
      <w:bookmarkStart w:id="16" w:name="_Toc17893"/>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九</w:t>
      </w:r>
      <w:r>
        <w:rPr>
          <w:rFonts w:hint="eastAsia" w:ascii="楷体" w:hAnsi="楷体" w:eastAsia="楷体" w:cs="楷体"/>
          <w:color w:val="auto"/>
          <w:sz w:val="32"/>
          <w:szCs w:val="32"/>
        </w:rPr>
        <w:t>）加快推进全民健康信息化建设</w:t>
      </w:r>
      <w:bookmarkEnd w:id="16"/>
    </w:p>
    <w:p>
      <w:pPr>
        <w:pStyle w:val="9"/>
        <w:spacing w:before="0" w:beforeAutospacing="0" w:after="0" w:afterAutospacing="0" w:line="360" w:lineRule="auto"/>
        <w:ind w:firstLine="475"/>
        <w:rPr>
          <w:rFonts w:hint="eastAsia" w:ascii="仿宋" w:hAnsi="仿宋" w:eastAsia="仿宋" w:cs="仿宋"/>
          <w:color w:val="auto"/>
          <w:kern w:val="2"/>
          <w:sz w:val="32"/>
          <w:szCs w:val="32"/>
          <w:highlight w:val="none"/>
        </w:rPr>
      </w:pPr>
      <w:r>
        <w:rPr>
          <w:rFonts w:hint="eastAsia" w:ascii="仿宋" w:hAnsi="仿宋" w:eastAsia="仿宋" w:cs="仿宋"/>
          <w:color w:val="auto"/>
          <w:sz w:val="32"/>
          <w:szCs w:val="32"/>
          <w:shd w:val="clear" w:color="auto" w:fill="FFFFFF"/>
          <w:lang w:val="en-US" w:eastAsia="zh-CN"/>
        </w:rPr>
        <w:t>37</w:t>
      </w:r>
      <w:r>
        <w:rPr>
          <w:rFonts w:hint="eastAsia" w:ascii="仿宋" w:hAnsi="仿宋" w:eastAsia="仿宋" w:cs="仿宋"/>
          <w:color w:val="auto"/>
          <w:sz w:val="32"/>
          <w:szCs w:val="32"/>
          <w:shd w:val="clear" w:color="auto" w:fill="FFFFFF"/>
        </w:rPr>
        <w:t>.</w:t>
      </w:r>
      <w:r>
        <w:rPr>
          <w:rFonts w:hint="eastAsia" w:ascii="仿宋" w:hAnsi="仿宋" w:eastAsia="仿宋" w:cs="仿宋"/>
          <w:color w:val="auto"/>
          <w:kern w:val="2"/>
          <w:sz w:val="32"/>
          <w:szCs w:val="32"/>
          <w:highlight w:val="none"/>
        </w:rPr>
        <w:t>加快建设“互联网+医疗”、电子健康卡、便民惠民服务平台，推进智慧医院建设，推动5G、云计算、大数据、区块链、人工智能等技术在“互联网+健康医疗”服务中的应用，创新“互联网+健康医疗”服务模式。加快互联网医院建设，规范和优化互联网诊疗流程，为患者提供部分常见病和慢性病在线复诊服务，提供“互联网+护理”服务。依托毓璜顶医院、烟台山医院等三甲综合医院，率先开展基于人工智能的精准医疗辅助应用和基于大数据的临床科研工作</w:t>
      </w:r>
      <w:r>
        <w:rPr>
          <w:rFonts w:hint="eastAsia" w:ascii="仿宋" w:hAnsi="仿宋" w:eastAsia="仿宋" w:cs="仿宋"/>
          <w:color w:val="auto"/>
          <w:kern w:val="2"/>
          <w:sz w:val="32"/>
          <w:szCs w:val="32"/>
          <w:highlight w:val="none"/>
          <w:lang w:eastAsia="zh-CN"/>
        </w:rPr>
        <w:t>。</w:t>
      </w:r>
      <w:r>
        <w:rPr>
          <w:rFonts w:hint="eastAsia" w:ascii="仿宋" w:hAnsi="仿宋" w:eastAsia="仿宋" w:cs="仿宋"/>
          <w:color w:val="auto"/>
          <w:kern w:val="2"/>
          <w:sz w:val="32"/>
          <w:szCs w:val="32"/>
          <w:highlight w:val="none"/>
        </w:rPr>
        <w:t>推进“全流程”移动化智慧医疗建设，搭建烟台市智慧医疗管理、智慧护理管理等各类应用平台，全面提升医院管理、医疗护理水平。推进全市公共卫生大数据平台建设，将法定传染病、慢性病、病媒生物监测以及预防接种等公共卫生信息数据接入市全民健康信息平台，实现疫情风险研判和预警功能。</w:t>
      </w:r>
      <w:r>
        <w:rPr>
          <w:rFonts w:hint="eastAsia" w:ascii="仿宋" w:hAnsi="仿宋" w:eastAsia="仿宋" w:cs="仿宋"/>
          <w:color w:val="auto"/>
          <w:sz w:val="32"/>
          <w:szCs w:val="32"/>
          <w:highlight w:val="none"/>
        </w:rPr>
        <w:t>“十四五”期间</w:t>
      </w:r>
      <w:r>
        <w:rPr>
          <w:rFonts w:hint="eastAsia" w:ascii="仿宋" w:hAnsi="仿宋" w:eastAsia="仿宋" w:cs="仿宋"/>
          <w:color w:val="auto"/>
          <w:sz w:val="32"/>
          <w:szCs w:val="32"/>
          <w:highlight w:val="none"/>
          <w:shd w:val="clear" w:color="auto" w:fill="FFFFFF"/>
        </w:rPr>
        <w:t>加强二级及以下医疗机构信息化建设，</w:t>
      </w:r>
      <w:r>
        <w:rPr>
          <w:rFonts w:hint="eastAsia" w:ascii="仿宋" w:hAnsi="仿宋" w:eastAsia="仿宋" w:cs="仿宋"/>
          <w:color w:val="auto"/>
          <w:sz w:val="32"/>
          <w:szCs w:val="32"/>
          <w:highlight w:val="none"/>
        </w:rPr>
        <w:t>逐步实现全面网上预约诊疗，推广应用居民电子健康卡，实现全市各级各类医疗卫生机构就诊一卡通用、诊疗信息共享共用，有效推动基层医疗卫生管理服务的信息化、便捷化。</w:t>
      </w:r>
      <w:r>
        <w:rPr>
          <w:rFonts w:hint="eastAsia" w:ascii="仿宋" w:hAnsi="仿宋" w:eastAsia="仿宋" w:cs="仿宋"/>
          <w:color w:val="auto"/>
          <w:sz w:val="32"/>
          <w:szCs w:val="32"/>
          <w:highlight w:val="none"/>
          <w:lang w:bidi="ar"/>
        </w:rPr>
        <w:t>（牵头</w:t>
      </w:r>
      <w:r>
        <w:rPr>
          <w:rFonts w:hint="eastAsia" w:ascii="仿宋" w:hAnsi="仿宋" w:eastAsia="仿宋" w:cs="仿宋"/>
          <w:color w:val="auto"/>
          <w:sz w:val="32"/>
          <w:szCs w:val="32"/>
          <w:highlight w:val="none"/>
          <w:lang w:val="en-US" w:eastAsia="zh-CN" w:bidi="ar"/>
        </w:rPr>
        <w:t>部门</w:t>
      </w:r>
      <w:r>
        <w:rPr>
          <w:rFonts w:hint="eastAsia" w:ascii="仿宋" w:hAnsi="仿宋" w:eastAsia="仿宋" w:cs="仿宋"/>
          <w:color w:val="auto"/>
          <w:sz w:val="32"/>
          <w:szCs w:val="32"/>
          <w:highlight w:val="none"/>
          <w:lang w:bidi="ar"/>
        </w:rPr>
        <w:t>：市卫生健康委</w:t>
      </w:r>
      <w:r>
        <w:rPr>
          <w:rFonts w:hint="eastAsia" w:ascii="仿宋" w:hAnsi="仿宋" w:eastAsia="仿宋" w:cs="仿宋"/>
          <w:color w:val="auto"/>
          <w:sz w:val="32"/>
          <w:szCs w:val="32"/>
          <w:highlight w:val="none"/>
          <w:lang w:eastAsia="zh-CN" w:bidi="ar"/>
        </w:rPr>
        <w:t>；</w:t>
      </w:r>
      <w:r>
        <w:rPr>
          <w:rFonts w:hint="eastAsia" w:ascii="仿宋" w:hAnsi="仿宋" w:eastAsia="仿宋" w:cs="仿宋"/>
          <w:color w:val="auto"/>
          <w:sz w:val="32"/>
          <w:szCs w:val="32"/>
          <w:highlight w:val="none"/>
          <w:lang w:val="en-US" w:eastAsia="zh-CN" w:bidi="ar"/>
        </w:rPr>
        <w:t>参与部门：</w:t>
      </w:r>
      <w:r>
        <w:rPr>
          <w:rFonts w:hint="eastAsia" w:ascii="仿宋" w:hAnsi="仿宋" w:eastAsia="仿宋" w:cs="仿宋"/>
          <w:color w:val="auto"/>
          <w:sz w:val="32"/>
          <w:szCs w:val="32"/>
          <w:highlight w:val="none"/>
          <w:lang w:bidi="ar"/>
        </w:rPr>
        <w:t>市大数据局、市发展改革委、市财政局、市人力资源社会保障局、市医保局、市工业和信息化局）</w:t>
      </w:r>
    </w:p>
    <w:p>
      <w:pPr>
        <w:pStyle w:val="9"/>
        <w:widowControl/>
        <w:spacing w:beforeAutospacing="0" w:afterAutospacing="0"/>
        <w:jc w:val="both"/>
        <w:rPr>
          <w:rFonts w:hint="eastAsia" w:ascii="仿宋" w:hAnsi="仿宋" w:eastAsia="仿宋" w:cs="仿宋"/>
          <w:color w:val="auto"/>
          <w:sz w:val="32"/>
          <w:szCs w:val="32"/>
          <w:highlight w:val="none"/>
        </w:rPr>
      </w:pPr>
    </w:p>
    <w:p>
      <w:pPr>
        <w:spacing w:after="78" w:afterLines="25"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专栏</w:t>
      </w:r>
      <w:r>
        <w:rPr>
          <w:rFonts w:hint="eastAsia" w:ascii="仿宋" w:hAnsi="仿宋" w:eastAsia="仿宋" w:cs="仿宋"/>
          <w:b/>
          <w:bCs/>
          <w:color w:val="auto"/>
          <w:sz w:val="32"/>
          <w:szCs w:val="32"/>
          <w:highlight w:val="none"/>
          <w:lang w:val="en-US" w:eastAsia="zh-CN"/>
        </w:rPr>
        <w:t>9</w:t>
      </w:r>
      <w:r>
        <w:rPr>
          <w:rFonts w:hint="eastAsia" w:ascii="仿宋" w:hAnsi="仿宋" w:eastAsia="仿宋" w:cs="仿宋"/>
          <w:b/>
          <w:bCs/>
          <w:color w:val="auto"/>
          <w:sz w:val="32"/>
          <w:szCs w:val="32"/>
          <w:highlight w:val="none"/>
        </w:rPr>
        <w:t xml:space="preserve"> 健康信息化重点建设项目</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643" w:firstLineChars="200"/>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重点推进全民健康信息化建设：</w:t>
            </w:r>
            <w:r>
              <w:rPr>
                <w:rFonts w:hint="eastAsia" w:ascii="仿宋" w:hAnsi="仿宋" w:eastAsia="仿宋" w:cs="仿宋"/>
                <w:color w:val="auto"/>
                <w:sz w:val="32"/>
                <w:szCs w:val="32"/>
                <w:highlight w:val="none"/>
              </w:rPr>
              <w:t>加快建设“互联网+医疗”、电子健康卡、便民惠民服务平台，创新“互联网+健康医疗”服务模式；依托毓璜顶医院、烟台山医院等三甲综合医院，推进“全流程”移动化智慧医疗建设；推进全市公共卫生大数据平台建设；</w:t>
            </w:r>
            <w:r>
              <w:rPr>
                <w:rFonts w:hint="eastAsia" w:ascii="仿宋" w:hAnsi="仿宋" w:eastAsia="仿宋" w:cs="仿宋"/>
                <w:color w:val="auto"/>
                <w:sz w:val="32"/>
                <w:szCs w:val="32"/>
                <w:highlight w:val="none"/>
                <w:shd w:val="clear" w:color="auto" w:fill="FFFFFF"/>
              </w:rPr>
              <w:t>加强二级及以下医疗机构信息化建设。</w:t>
            </w:r>
          </w:p>
        </w:tc>
      </w:tr>
    </w:tbl>
    <w:p>
      <w:pPr>
        <w:spacing w:line="360" w:lineRule="auto"/>
        <w:ind w:firstLine="640" w:firstLineChars="200"/>
        <w:rPr>
          <w:rFonts w:hint="eastAsia" w:ascii="楷体" w:hAnsi="楷体" w:eastAsia="楷体" w:cs="楷体"/>
          <w:color w:val="auto"/>
          <w:sz w:val="32"/>
          <w:szCs w:val="32"/>
          <w:highlight w:val="none"/>
        </w:rPr>
      </w:pPr>
    </w:p>
    <w:p>
      <w:pPr>
        <w:pStyle w:val="3"/>
        <w:bidi w:val="0"/>
        <w:ind w:firstLine="643" w:firstLineChars="200"/>
        <w:rPr>
          <w:rFonts w:hint="eastAsia" w:ascii="楷体" w:hAnsi="楷体" w:eastAsia="楷体" w:cs="楷体"/>
          <w:color w:val="auto"/>
          <w:sz w:val="32"/>
          <w:szCs w:val="32"/>
          <w:lang w:eastAsia="zh-CN"/>
        </w:rPr>
      </w:pPr>
      <w:bookmarkStart w:id="17" w:name="_Toc29722"/>
      <w:r>
        <w:rPr>
          <w:rFonts w:hint="eastAsia" w:ascii="楷体" w:hAnsi="楷体" w:eastAsia="楷体" w:cs="楷体"/>
          <w:color w:val="auto"/>
          <w:sz w:val="32"/>
          <w:szCs w:val="32"/>
          <w:lang w:eastAsia="zh-CN"/>
        </w:rPr>
        <w:t>（十）强基固本，促进卫生健康高质量发展</w:t>
      </w:r>
      <w:bookmarkEnd w:id="17"/>
    </w:p>
    <w:p>
      <w:p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38.</w:t>
      </w:r>
      <w:r>
        <w:rPr>
          <w:rFonts w:hint="eastAsia" w:ascii="仿宋" w:hAnsi="仿宋" w:eastAsia="仿宋" w:cs="仿宋"/>
          <w:color w:val="auto"/>
          <w:sz w:val="32"/>
          <w:szCs w:val="32"/>
          <w:highlight w:val="none"/>
        </w:rPr>
        <w:t>扩充卫生人力资源总量。加大人才招引力度，落实公立医院用人自主权</w:t>
      </w:r>
      <w:r>
        <w:rPr>
          <w:rFonts w:hint="eastAsia" w:ascii="仿宋" w:hAnsi="仿宋" w:eastAsia="仿宋" w:cs="仿宋"/>
          <w:color w:val="auto"/>
          <w:sz w:val="32"/>
          <w:szCs w:val="32"/>
          <w:highlight w:val="none"/>
          <w:lang w:eastAsia="zh-CN"/>
        </w:rPr>
        <w:t>，完善</w:t>
      </w:r>
      <w:r>
        <w:rPr>
          <w:rFonts w:hint="eastAsia" w:ascii="仿宋" w:hAnsi="仿宋" w:eastAsia="仿宋" w:cs="仿宋"/>
          <w:color w:val="auto"/>
          <w:sz w:val="32"/>
          <w:szCs w:val="32"/>
          <w:highlight w:val="none"/>
        </w:rPr>
        <w:t>基层全科医生的订单定向培养制度</w:t>
      </w:r>
      <w:r>
        <w:rPr>
          <w:rFonts w:hint="eastAsia" w:ascii="仿宋" w:hAnsi="仿宋" w:eastAsia="仿宋" w:cs="仿宋"/>
          <w:color w:val="auto"/>
          <w:sz w:val="32"/>
          <w:szCs w:val="32"/>
          <w:highlight w:val="none"/>
          <w:lang w:eastAsia="zh-CN"/>
        </w:rPr>
        <w:t>，补齐人力资源配置短板。</w:t>
      </w:r>
      <w:r>
        <w:rPr>
          <w:rFonts w:hint="eastAsia" w:ascii="仿宋" w:hAnsi="仿宋" w:eastAsia="仿宋" w:cs="仿宋"/>
          <w:color w:val="auto"/>
          <w:sz w:val="32"/>
          <w:szCs w:val="32"/>
          <w:highlight w:val="none"/>
        </w:rPr>
        <w:t>编办合理核定卫生机构人员编制，编制配置向人员短缺严重的卫生机构以及基层岗位倾斜，如公共卫生、全科医学等。到2025年，每千人口执业（助理）医师数达到3.</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5人，每千人口注册护士数达到</w:t>
      </w:r>
      <w:r>
        <w:rPr>
          <w:rFonts w:hint="eastAsia" w:ascii="仿宋" w:hAnsi="仿宋" w:eastAsia="仿宋" w:cs="仿宋"/>
          <w:color w:val="auto"/>
          <w:sz w:val="32"/>
          <w:szCs w:val="32"/>
          <w:highlight w:val="none"/>
          <w:lang w:val="en-US" w:eastAsia="zh-CN"/>
        </w:rPr>
        <w:t xml:space="preserve">4.82 </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highlight w:val="none"/>
          <w:lang w:eastAsia="zh-CN"/>
        </w:rPr>
        <w:t>每千人口药师（士）数</w:t>
      </w:r>
      <w:r>
        <w:rPr>
          <w:rFonts w:hint="eastAsia" w:ascii="仿宋" w:hAnsi="仿宋" w:eastAsia="仿宋" w:cs="仿宋"/>
          <w:color w:val="auto"/>
          <w:sz w:val="32"/>
          <w:szCs w:val="32"/>
          <w:highlight w:val="none"/>
          <w:lang w:val="en-US" w:eastAsia="zh-CN"/>
        </w:rPr>
        <w:t>0.54人，</w:t>
      </w:r>
      <w:r>
        <w:rPr>
          <w:rFonts w:hint="eastAsia" w:ascii="仿宋" w:hAnsi="仿宋" w:eastAsia="仿宋" w:cs="仿宋"/>
          <w:color w:val="auto"/>
          <w:sz w:val="32"/>
          <w:szCs w:val="32"/>
          <w:highlight w:val="none"/>
        </w:rPr>
        <w:t>每万人口全科医生数达到4人。</w:t>
      </w:r>
      <w:r>
        <w:rPr>
          <w:rFonts w:hint="eastAsia" w:ascii="仿宋" w:hAnsi="仿宋" w:eastAsia="仿宋" w:cs="仿宋"/>
          <w:color w:val="auto"/>
          <w:kern w:val="0"/>
          <w:sz w:val="32"/>
          <w:szCs w:val="32"/>
          <w:highlight w:val="none"/>
          <w:lang w:bidi="ar"/>
        </w:rPr>
        <w:t>（牵头</w:t>
      </w:r>
      <w:r>
        <w:rPr>
          <w:rFonts w:hint="eastAsia" w:ascii="仿宋" w:hAnsi="仿宋" w:eastAsia="仿宋" w:cs="仿宋"/>
          <w:color w:val="auto"/>
          <w:kern w:val="0"/>
          <w:sz w:val="32"/>
          <w:szCs w:val="32"/>
          <w:highlight w:val="none"/>
          <w:lang w:val="en-US" w:eastAsia="zh-CN" w:bidi="ar"/>
        </w:rPr>
        <w:t>部门</w:t>
      </w:r>
      <w:r>
        <w:rPr>
          <w:rFonts w:hint="eastAsia" w:ascii="仿宋" w:hAnsi="仿宋" w:eastAsia="仿宋" w:cs="仿宋"/>
          <w:color w:val="auto"/>
          <w:kern w:val="0"/>
          <w:sz w:val="32"/>
          <w:szCs w:val="32"/>
          <w:highlight w:val="none"/>
          <w:lang w:bidi="ar"/>
        </w:rPr>
        <w:t>：市卫生健康委</w:t>
      </w:r>
      <w:r>
        <w:rPr>
          <w:rFonts w:hint="eastAsia" w:ascii="仿宋" w:hAnsi="仿宋" w:eastAsia="仿宋" w:cs="仿宋"/>
          <w:color w:val="auto"/>
          <w:kern w:val="0"/>
          <w:sz w:val="32"/>
          <w:szCs w:val="32"/>
          <w:highlight w:val="none"/>
          <w:lang w:eastAsia="zh-CN" w:bidi="ar"/>
        </w:rPr>
        <w:t>；</w:t>
      </w:r>
      <w:r>
        <w:rPr>
          <w:rFonts w:hint="eastAsia" w:ascii="仿宋" w:hAnsi="仿宋" w:eastAsia="仿宋" w:cs="仿宋"/>
          <w:color w:val="auto"/>
          <w:kern w:val="0"/>
          <w:sz w:val="32"/>
          <w:szCs w:val="32"/>
          <w:highlight w:val="none"/>
          <w:lang w:val="en-US" w:eastAsia="zh-CN" w:bidi="ar"/>
        </w:rPr>
        <w:t>参与部门：</w:t>
      </w:r>
      <w:r>
        <w:rPr>
          <w:rFonts w:hint="eastAsia" w:ascii="仿宋" w:hAnsi="仿宋" w:eastAsia="仿宋" w:cs="仿宋"/>
          <w:color w:val="auto"/>
          <w:kern w:val="0"/>
          <w:sz w:val="32"/>
          <w:szCs w:val="32"/>
          <w:highlight w:val="none"/>
          <w:lang w:bidi="ar"/>
        </w:rPr>
        <w:t>市委编办、市人力资源社会保障局、市教育局、市发展改革委、市财政局）</w:t>
      </w:r>
    </w:p>
    <w:p>
      <w:pPr>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39.</w:t>
      </w:r>
      <w:r>
        <w:rPr>
          <w:rFonts w:hint="eastAsia" w:ascii="仿宋" w:hAnsi="仿宋" w:eastAsia="仿宋" w:cs="仿宋"/>
          <w:color w:val="auto"/>
          <w:sz w:val="32"/>
          <w:szCs w:val="32"/>
          <w:highlight w:val="none"/>
        </w:rPr>
        <w:t>加快卫生健康科技创新。深化“科卫协同”机制，支持企业与高校院所联合搭建人才培养和开放式科技创新平台，推动高校院所人才与社会资本、技术成果的深度对接，打造卫生与健康领域更多产学研深度融合、互利共赢发展的创新联合体。强化对卫生与健康创新创造的支持，落实人才政策，创新体制机制，支持科研人员采取更加灵活的方式服务健康领域关键技术研发、创新和突破</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支持绿叶生命科学集团国家重点实验室建设、荣昌生物创新药物研发，支持滨州医学院烟台校区在肿瘤诊断、疾病研究、新型载药释药技术、生物制药、中药研发、康复工程及健康数据管理等领域开展的科研工作，全面提升科技创新对卫生与健康事业高质量发展的支撑能力。（牵头部门：市科技局</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参与部门：</w:t>
      </w:r>
      <w:r>
        <w:rPr>
          <w:rFonts w:hint="eastAsia" w:ascii="仿宋" w:hAnsi="仿宋" w:eastAsia="仿宋" w:cs="仿宋"/>
          <w:color w:val="auto"/>
          <w:sz w:val="32"/>
          <w:szCs w:val="32"/>
          <w:highlight w:val="none"/>
        </w:rPr>
        <w:t>市卫健委、市工业和信息化局、市大数据局。）</w:t>
      </w:r>
    </w:p>
    <w:p>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highlight w:val="none"/>
          <w:lang w:val="en-US" w:eastAsia="zh-CN"/>
        </w:rPr>
        <w:t>40</w:t>
      </w:r>
      <w:r>
        <w:rPr>
          <w:rFonts w:hint="eastAsia" w:ascii="仿宋" w:hAnsi="仿宋" w:eastAsia="仿宋" w:cs="仿宋"/>
          <w:color w:val="auto"/>
          <w:sz w:val="32"/>
          <w:szCs w:val="32"/>
          <w:highlight w:val="none"/>
        </w:rPr>
        <w:t>.推进安全生产标准化建设。建立健全安全生产组织体系，全面提高医院安全生产管理人员专业化水平。全面落实安全生产责任管理制度，开展安全生产常态</w:t>
      </w:r>
      <w:r>
        <w:rPr>
          <w:rFonts w:hint="eastAsia" w:ascii="仿宋" w:hAnsi="仿宋" w:eastAsia="仿宋" w:cs="仿宋"/>
          <w:color w:val="auto"/>
          <w:sz w:val="32"/>
          <w:szCs w:val="32"/>
        </w:rPr>
        <w:t>化培训，深入推进安全生产管理信息化建设，全面提升安全生产能力。（牵头</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：市卫生健康委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参与部门：</w:t>
      </w:r>
      <w:r>
        <w:rPr>
          <w:rFonts w:hint="eastAsia" w:ascii="仿宋" w:hAnsi="仿宋" w:eastAsia="仿宋" w:cs="仿宋"/>
          <w:color w:val="auto"/>
          <w:sz w:val="32"/>
          <w:szCs w:val="32"/>
        </w:rPr>
        <w:t>市委编办）</w:t>
      </w:r>
    </w:p>
    <w:p>
      <w:pPr>
        <w:spacing w:line="360" w:lineRule="auto"/>
        <w:ind w:firstLine="640" w:firstLineChars="200"/>
        <w:rPr>
          <w:rFonts w:hint="default" w:ascii="仿宋" w:hAnsi="仿宋" w:eastAsia="仿宋" w:cs="仿宋"/>
          <w:color w:val="auto"/>
          <w:sz w:val="32"/>
          <w:szCs w:val="32"/>
          <w:highlight w:val="green"/>
          <w:lang w:val="en-US" w:eastAsia="zh-CN"/>
        </w:rPr>
      </w:pPr>
      <w:r>
        <w:rPr>
          <w:rFonts w:hint="eastAsia" w:ascii="仿宋" w:hAnsi="仿宋" w:eastAsia="仿宋" w:cs="仿宋"/>
          <w:color w:val="auto"/>
          <w:sz w:val="32"/>
          <w:szCs w:val="32"/>
          <w:lang w:val="en-US" w:eastAsia="zh-CN"/>
        </w:rPr>
        <w:t>41</w:t>
      </w:r>
      <w:r>
        <w:rPr>
          <w:rFonts w:hint="eastAsia" w:ascii="仿宋" w:hAnsi="仿宋" w:eastAsia="仿宋" w:cs="仿宋"/>
          <w:color w:val="auto"/>
          <w:sz w:val="32"/>
          <w:szCs w:val="32"/>
        </w:rPr>
        <w:t>.落实以政府投入为主导的卫生健康财政保障机制。确保公共财政用于改善民生,发展卫生健康事业。确保政府卫生投入增长幅度高于财政经常性支出的增长幅度。切实落实政府对公立医院的投入政策，对公立医院和基层卫生机构的合规债务进行锁定、剥离和化解。加大对公共卫生、基层医疗服务网络、人才建设的投入力度，对资源短缺的学科、机构在投入政策上予以适当倾斜，补齐资源短板。安排基层卫生机构设备更新专项财政投入，设立财政专项补助对紧缺岗位卫生技术人员发放特殊津贴。（</w:t>
      </w:r>
      <w:r>
        <w:rPr>
          <w:rFonts w:hint="eastAsia" w:ascii="仿宋" w:hAnsi="仿宋" w:eastAsia="仿宋" w:cs="仿宋"/>
          <w:color w:val="auto"/>
          <w:kern w:val="0"/>
          <w:sz w:val="32"/>
          <w:szCs w:val="32"/>
          <w:lang w:bidi="ar"/>
        </w:rPr>
        <w:t>牵头</w:t>
      </w:r>
      <w:r>
        <w:rPr>
          <w:rFonts w:hint="eastAsia" w:ascii="仿宋" w:hAnsi="仿宋" w:eastAsia="仿宋" w:cs="仿宋"/>
          <w:color w:val="auto"/>
          <w:kern w:val="0"/>
          <w:sz w:val="32"/>
          <w:szCs w:val="32"/>
          <w:lang w:val="en-US" w:eastAsia="zh-CN" w:bidi="ar"/>
        </w:rPr>
        <w:t>部门</w:t>
      </w:r>
      <w:r>
        <w:rPr>
          <w:rFonts w:hint="eastAsia" w:ascii="仿宋" w:hAnsi="仿宋" w:eastAsia="仿宋" w:cs="仿宋"/>
          <w:color w:val="auto"/>
          <w:kern w:val="0"/>
          <w:sz w:val="32"/>
          <w:szCs w:val="32"/>
          <w:lang w:bidi="ar"/>
        </w:rPr>
        <w:t>：市财政局</w:t>
      </w:r>
      <w:r>
        <w:rPr>
          <w:rFonts w:hint="eastAsia" w:ascii="仿宋" w:hAnsi="仿宋" w:eastAsia="仿宋" w:cs="仿宋"/>
          <w:color w:val="auto"/>
          <w:kern w:val="0"/>
          <w:sz w:val="32"/>
          <w:szCs w:val="32"/>
          <w:lang w:eastAsia="zh-CN" w:bidi="ar"/>
        </w:rPr>
        <w:t>、</w:t>
      </w:r>
      <w:r>
        <w:rPr>
          <w:rFonts w:hint="eastAsia" w:ascii="仿宋" w:hAnsi="仿宋" w:eastAsia="仿宋" w:cs="仿宋"/>
          <w:color w:val="auto"/>
          <w:kern w:val="0"/>
          <w:sz w:val="32"/>
          <w:szCs w:val="32"/>
          <w:lang w:bidi="ar"/>
        </w:rPr>
        <w:t>市卫生健康委</w:t>
      </w:r>
      <w:r>
        <w:rPr>
          <w:rFonts w:hint="eastAsia" w:ascii="仿宋" w:hAnsi="仿宋" w:eastAsia="仿宋" w:cs="仿宋"/>
          <w:color w:val="auto"/>
          <w:kern w:val="0"/>
          <w:sz w:val="32"/>
          <w:szCs w:val="32"/>
          <w:lang w:eastAsia="zh-CN" w:bidi="ar"/>
        </w:rPr>
        <w:t>；</w:t>
      </w:r>
      <w:r>
        <w:rPr>
          <w:rFonts w:hint="eastAsia" w:ascii="仿宋" w:hAnsi="仿宋" w:eastAsia="仿宋" w:cs="仿宋"/>
          <w:color w:val="auto"/>
          <w:kern w:val="0"/>
          <w:sz w:val="32"/>
          <w:szCs w:val="32"/>
          <w:lang w:val="en-US" w:eastAsia="zh-CN" w:bidi="ar"/>
        </w:rPr>
        <w:t>参与部门：</w:t>
      </w:r>
      <w:r>
        <w:rPr>
          <w:rFonts w:hint="eastAsia" w:ascii="仿宋" w:hAnsi="仿宋" w:eastAsia="仿宋" w:cs="仿宋"/>
          <w:color w:val="auto"/>
          <w:kern w:val="0"/>
          <w:sz w:val="32"/>
          <w:szCs w:val="32"/>
          <w:lang w:bidi="ar"/>
        </w:rPr>
        <w:t>市发展改革委</w:t>
      </w:r>
      <w:r>
        <w:rPr>
          <w:rFonts w:hint="eastAsia" w:ascii="仿宋" w:hAnsi="仿宋" w:eastAsia="仿宋" w:cs="仿宋"/>
          <w:color w:val="auto"/>
          <w:sz w:val="32"/>
          <w:szCs w:val="32"/>
        </w:rPr>
        <w:t>）</w:t>
      </w:r>
    </w:p>
    <w:p>
      <w:pPr>
        <w:pStyle w:val="2"/>
        <w:bidi w:val="0"/>
        <w:ind w:firstLine="640" w:firstLineChars="200"/>
        <w:rPr>
          <w:rFonts w:hint="eastAsia" w:ascii="黑体" w:hAnsi="黑体" w:eastAsia="黑体" w:cs="黑体"/>
          <w:b w:val="0"/>
          <w:bCs w:val="0"/>
          <w:color w:val="auto"/>
          <w:sz w:val="32"/>
          <w:szCs w:val="32"/>
        </w:rPr>
      </w:pPr>
      <w:bookmarkStart w:id="18" w:name="_Toc11741"/>
      <w:r>
        <w:rPr>
          <w:rFonts w:hint="eastAsia" w:ascii="黑体" w:hAnsi="黑体" w:eastAsia="黑体" w:cs="黑体"/>
          <w:b w:val="0"/>
          <w:bCs w:val="0"/>
          <w:color w:val="auto"/>
          <w:sz w:val="32"/>
          <w:szCs w:val="32"/>
        </w:rPr>
        <w:t>四、保障措施</w:t>
      </w:r>
      <w:bookmarkEnd w:id="18"/>
    </w:p>
    <w:p>
      <w:pPr>
        <w:pStyle w:val="9"/>
        <w:widowControl/>
        <w:spacing w:beforeAutospacing="0" w:afterAutospacing="0" w:line="360" w:lineRule="auto"/>
        <w:ind w:firstLine="640" w:firstLineChars="200"/>
        <w:jc w:val="both"/>
        <w:rPr>
          <w:rFonts w:hint="eastAsia" w:ascii="仿宋" w:hAnsi="仿宋" w:eastAsia="仿宋" w:cs="仿宋"/>
          <w:color w:val="auto"/>
          <w:sz w:val="32"/>
          <w:szCs w:val="32"/>
        </w:rPr>
      </w:pPr>
      <w:bookmarkStart w:id="19" w:name="_Toc11169"/>
      <w:r>
        <w:rPr>
          <w:rStyle w:val="15"/>
          <w:rFonts w:hint="eastAsia" w:ascii="楷体" w:hAnsi="楷体" w:eastAsia="楷体" w:cs="楷体"/>
          <w:b w:val="0"/>
          <w:bCs w:val="0"/>
          <w:color w:val="auto"/>
          <w:sz w:val="32"/>
          <w:szCs w:val="32"/>
        </w:rPr>
        <w:t>（一）强化组织领导</w:t>
      </w:r>
      <w:bookmarkEnd w:id="19"/>
      <w:r>
        <w:rPr>
          <w:rFonts w:hint="eastAsia" w:ascii="楷体" w:hAnsi="楷体" w:eastAsia="楷体" w:cs="楷体"/>
          <w:b w:val="0"/>
          <w:bCs w:val="0"/>
          <w:color w:val="auto"/>
          <w:sz w:val="32"/>
          <w:szCs w:val="32"/>
        </w:rPr>
        <w:t>。</w:t>
      </w:r>
      <w:r>
        <w:rPr>
          <w:rFonts w:hint="eastAsia" w:ascii="仿宋" w:hAnsi="仿宋" w:eastAsia="仿宋" w:cs="仿宋"/>
          <w:color w:val="auto"/>
          <w:sz w:val="32"/>
          <w:szCs w:val="32"/>
        </w:rPr>
        <w:t>充分认识建设现代医疗卫生体系的重要性、紧迫性，切实加强对“十四五”卫生与健康规划实施工作的领导，建立分工明确、配合密切的协调推进机制，机构编制、卫生健康、发展改革、科技、财政、人社、医保、</w:t>
      </w:r>
      <w:r>
        <w:rPr>
          <w:rFonts w:hint="eastAsia" w:ascii="仿宋" w:hAnsi="仿宋" w:eastAsia="仿宋" w:cs="仿宋"/>
          <w:color w:val="auto"/>
          <w:sz w:val="32"/>
          <w:szCs w:val="32"/>
          <w:lang w:eastAsia="zh-CN"/>
        </w:rPr>
        <w:t>自然资源规划</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市场监管</w:t>
      </w:r>
      <w:r>
        <w:rPr>
          <w:rFonts w:hint="eastAsia" w:ascii="仿宋" w:hAnsi="仿宋" w:eastAsia="仿宋" w:cs="仿宋"/>
          <w:color w:val="auto"/>
          <w:sz w:val="32"/>
          <w:szCs w:val="32"/>
        </w:rPr>
        <w:t>等部门合力推进规划实施。本规划项目列入政府工作目标和考核内容，在经济社会发展、城乡建设、土地利用总体规划中统筹考虑医疗卫生计生发展需要。各区市政府（管委）负责制订本地区“十四五”卫生与健康规划，并细化分解任务，扎实加以推进，确保与市规划的协调统一。</w:t>
      </w:r>
    </w:p>
    <w:p>
      <w:pPr>
        <w:pStyle w:val="9"/>
        <w:widowControl/>
        <w:spacing w:beforeAutospacing="0" w:afterAutospacing="0" w:line="360" w:lineRule="auto"/>
        <w:ind w:firstLine="640" w:firstLineChars="200"/>
        <w:jc w:val="both"/>
        <w:rPr>
          <w:rFonts w:hint="eastAsia" w:ascii="仿宋" w:hAnsi="仿宋" w:eastAsia="仿宋" w:cs="仿宋"/>
          <w:color w:val="auto"/>
          <w:sz w:val="32"/>
          <w:szCs w:val="32"/>
        </w:rPr>
      </w:pPr>
      <w:bookmarkStart w:id="20" w:name="_Toc2201"/>
      <w:r>
        <w:rPr>
          <w:rStyle w:val="15"/>
          <w:rFonts w:hint="eastAsia" w:ascii="楷体" w:hAnsi="楷体" w:eastAsia="楷体" w:cs="楷体"/>
          <w:b w:val="0"/>
          <w:bCs w:val="0"/>
          <w:color w:val="auto"/>
          <w:sz w:val="32"/>
          <w:szCs w:val="32"/>
        </w:rPr>
        <w:t>（二）加强政策保障</w:t>
      </w:r>
      <w:bookmarkEnd w:id="20"/>
      <w:r>
        <w:rPr>
          <w:rFonts w:hint="eastAsia" w:ascii="楷体" w:hAnsi="楷体" w:eastAsia="楷体" w:cs="楷体"/>
          <w:b w:val="0"/>
          <w:bCs w:val="0"/>
          <w:color w:val="auto"/>
          <w:sz w:val="32"/>
          <w:szCs w:val="32"/>
        </w:rPr>
        <w:t>。</w:t>
      </w:r>
      <w:r>
        <w:rPr>
          <w:rFonts w:hint="eastAsia" w:ascii="仿宋" w:hAnsi="仿宋" w:eastAsia="仿宋" w:cs="仿宋"/>
          <w:color w:val="auto"/>
          <w:sz w:val="32"/>
          <w:szCs w:val="32"/>
        </w:rPr>
        <w:t>进一步完善政府卫生投入机制，逐步提高政府卫生健康投入占卫生总费用的比重，使居民个人基本医疗卫生费用负担有效减轻。政府新增卫生健康投入重点用于支持公共卫生、基层卫生、综合医改、科研人才、智慧医疗建设。建立健全政府对卫生健康事业投入的绩效评价体系，提升政府投入绩效，促进政府投入达到预期目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鼓励社会资本参与发展医疗卫生事业，建立社会办医准入的“负面清单”制度，凡是法律法规未禁止的领域，都要依法向社会资本开放，促进投资主体多元化、投资方式多样化。加大政策创新力度，完善价格、财税金融、医保等方面配套政策，着力突破重点难点问题。</w:t>
      </w:r>
    </w:p>
    <w:p>
      <w:pPr>
        <w:pStyle w:val="9"/>
        <w:widowControl/>
        <w:spacing w:beforeAutospacing="0" w:afterAutospacing="0" w:line="360" w:lineRule="auto"/>
        <w:ind w:firstLine="640" w:firstLineChars="200"/>
        <w:jc w:val="both"/>
        <w:rPr>
          <w:rFonts w:hint="eastAsia" w:ascii="仿宋" w:hAnsi="仿宋" w:eastAsia="仿宋" w:cs="仿宋"/>
          <w:color w:val="auto"/>
          <w:sz w:val="32"/>
          <w:szCs w:val="32"/>
        </w:rPr>
      </w:pPr>
      <w:bookmarkStart w:id="21" w:name="_Toc10392"/>
      <w:r>
        <w:rPr>
          <w:rStyle w:val="15"/>
          <w:rFonts w:hint="eastAsia" w:ascii="楷体" w:hAnsi="楷体" w:eastAsia="楷体" w:cs="楷体"/>
          <w:b w:val="0"/>
          <w:bCs w:val="0"/>
          <w:color w:val="auto"/>
          <w:sz w:val="32"/>
          <w:szCs w:val="32"/>
        </w:rPr>
        <w:t>（三）营造良好环境</w:t>
      </w:r>
      <w:bookmarkEnd w:id="21"/>
      <w:r>
        <w:rPr>
          <w:rFonts w:hint="eastAsia" w:ascii="楷体" w:hAnsi="楷体" w:eastAsia="楷体" w:cs="楷体"/>
          <w:b w:val="0"/>
          <w:bCs w:val="0"/>
          <w:color w:val="auto"/>
          <w:sz w:val="32"/>
          <w:szCs w:val="32"/>
        </w:rPr>
        <w:t>。</w:t>
      </w:r>
      <w:r>
        <w:rPr>
          <w:rFonts w:hint="eastAsia" w:ascii="仿宋" w:hAnsi="仿宋" w:eastAsia="仿宋"/>
          <w:color w:val="auto"/>
          <w:sz w:val="32"/>
          <w:szCs w:val="32"/>
          <w:lang w:val="en-US" w:eastAsia="zh-CN"/>
        </w:rPr>
        <w:t>加强卫生与健康法治建设，推动卫生健康重点立法项目落实落地;健全依法决策机制，落实重大决策合法性审查制度。</w:t>
      </w:r>
      <w:r>
        <w:rPr>
          <w:rFonts w:hint="eastAsia" w:ascii="仿宋" w:hAnsi="仿宋" w:eastAsia="仿宋" w:cs="仿宋"/>
          <w:color w:val="auto"/>
          <w:sz w:val="32"/>
          <w:szCs w:val="32"/>
        </w:rPr>
        <w:t>强化卫生健康行风和职业道德建设，大力宣传系统中的道德模范、先进人物和感人事迹，维护和提升行业的良好形象。推动医疗卫生机构公开服务信息，增强医患双方相互理解与信任。优化医务人员执业环境和条件，严厉打击涉医违法犯罪行为。完善医患纠纷调解机制，依法保护医患双方合法权益。坚持正确的舆论导向，合理引导社会预期，倡导形成尊重医学科学、尊重医务人员劳动的良好舆论氛围。</w:t>
      </w:r>
    </w:p>
    <w:p>
      <w:pPr>
        <w:pStyle w:val="9"/>
        <w:widowControl/>
        <w:spacing w:beforeAutospacing="0" w:afterAutospacing="0" w:line="360" w:lineRule="auto"/>
        <w:ind w:firstLine="640" w:firstLineChars="200"/>
        <w:jc w:val="both"/>
        <w:rPr>
          <w:rFonts w:hint="eastAsia" w:ascii="仿宋" w:hAnsi="仿宋" w:eastAsia="仿宋" w:cs="仿宋"/>
          <w:color w:val="auto"/>
          <w:sz w:val="32"/>
          <w:szCs w:val="32"/>
        </w:rPr>
      </w:pPr>
      <w:bookmarkStart w:id="22" w:name="_Toc14035"/>
      <w:r>
        <w:rPr>
          <w:rStyle w:val="15"/>
          <w:rFonts w:hint="eastAsia" w:ascii="楷体" w:hAnsi="楷体" w:eastAsia="楷体" w:cs="楷体"/>
          <w:b w:val="0"/>
          <w:bCs w:val="0"/>
          <w:color w:val="auto"/>
          <w:sz w:val="32"/>
          <w:szCs w:val="32"/>
        </w:rPr>
        <w:t>（四）落实监督评估</w:t>
      </w:r>
      <w:bookmarkEnd w:id="22"/>
      <w:r>
        <w:rPr>
          <w:rStyle w:val="15"/>
          <w:rFonts w:hint="eastAsia" w:ascii="楷体" w:hAnsi="楷体" w:eastAsia="楷体" w:cs="楷体"/>
          <w:b w:val="0"/>
          <w:bCs w:val="0"/>
          <w:color w:val="auto"/>
          <w:sz w:val="32"/>
          <w:szCs w:val="32"/>
        </w:rPr>
        <w:t>。</w:t>
      </w:r>
      <w:r>
        <w:rPr>
          <w:rFonts w:hint="eastAsia" w:ascii="仿宋" w:hAnsi="仿宋" w:eastAsia="仿宋" w:cs="仿宋"/>
          <w:color w:val="auto"/>
          <w:sz w:val="32"/>
          <w:szCs w:val="32"/>
        </w:rPr>
        <w:t>本规划是我市“十四五”期间推进卫生与健康发展、加快现代医疗卫生体系建设的纲领性文件，各区市、各有关部门要严格执行本规划确定的目标和任务。健全规划执行的监测评价体系，探索建立第三方评估机制，监督重大项目的执行情况，及时发现和解决规划实施中存在的问题，提高监测评估的科学性和有效性。适时开展规划实施中期评估，增强规划执行的约束性，确保各项目标任务顺利完成。</w:t>
      </w:r>
    </w:p>
    <w:p/>
    <w:p>
      <w:pPr>
        <w:pStyle w:val="9"/>
        <w:widowControl/>
        <w:spacing w:beforeAutospacing="0" w:afterAutospacing="0" w:line="360" w:lineRule="auto"/>
        <w:ind w:firstLine="640" w:firstLineChars="200"/>
        <w:jc w:val="both"/>
        <w:rPr>
          <w:rFonts w:hint="eastAsia" w:ascii="仿宋" w:hAnsi="仿宋" w:eastAsia="仿宋" w:cs="仿宋"/>
          <w:color w:val="auto"/>
          <w:sz w:val="32"/>
          <w:szCs w:val="32"/>
        </w:rPr>
      </w:pP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90852"/>
    <w:rsid w:val="00C91650"/>
    <w:rsid w:val="04AD1135"/>
    <w:rsid w:val="0B1E21E8"/>
    <w:rsid w:val="0CDB0147"/>
    <w:rsid w:val="0EA30F1E"/>
    <w:rsid w:val="119A6FEA"/>
    <w:rsid w:val="1300435D"/>
    <w:rsid w:val="1A1D10B4"/>
    <w:rsid w:val="1EAF686D"/>
    <w:rsid w:val="2276353F"/>
    <w:rsid w:val="231D001F"/>
    <w:rsid w:val="26CE2F78"/>
    <w:rsid w:val="2973381B"/>
    <w:rsid w:val="29C96236"/>
    <w:rsid w:val="29D62236"/>
    <w:rsid w:val="2C5F11E6"/>
    <w:rsid w:val="2DE41B5E"/>
    <w:rsid w:val="31724D3D"/>
    <w:rsid w:val="336B3793"/>
    <w:rsid w:val="35C8465D"/>
    <w:rsid w:val="390D50DC"/>
    <w:rsid w:val="3AD51C9D"/>
    <w:rsid w:val="3BF07B6D"/>
    <w:rsid w:val="3C8C29FA"/>
    <w:rsid w:val="3F5B1171"/>
    <w:rsid w:val="3F712D85"/>
    <w:rsid w:val="44B735DA"/>
    <w:rsid w:val="459E5EFC"/>
    <w:rsid w:val="47077CCA"/>
    <w:rsid w:val="4967576F"/>
    <w:rsid w:val="4AAD37EF"/>
    <w:rsid w:val="4B62408D"/>
    <w:rsid w:val="4F0C780D"/>
    <w:rsid w:val="515125EE"/>
    <w:rsid w:val="54C35927"/>
    <w:rsid w:val="558E2676"/>
    <w:rsid w:val="56BB2ABE"/>
    <w:rsid w:val="57BE20B5"/>
    <w:rsid w:val="5CC90852"/>
    <w:rsid w:val="65FC005B"/>
    <w:rsid w:val="664B3EDC"/>
    <w:rsid w:val="68A710B1"/>
    <w:rsid w:val="68D61CBD"/>
    <w:rsid w:val="699535F1"/>
    <w:rsid w:val="71A71CAF"/>
    <w:rsid w:val="73690F71"/>
    <w:rsid w:val="76D000C3"/>
    <w:rsid w:val="7CF5162C"/>
    <w:rsid w:val="7D1764C1"/>
    <w:rsid w:val="7DBB2619"/>
    <w:rsid w:val="7DDF791F"/>
    <w:rsid w:val="7F08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5"/>
    <w:qFormat/>
    <w:uiPriority w:val="0"/>
    <w:pPr>
      <w:keepNext/>
      <w:keepLines/>
      <w:spacing w:before="20" w:after="20" w:line="416" w:lineRule="auto"/>
      <w:outlineLvl w:val="1"/>
    </w:pPr>
    <w:rPr>
      <w:rFonts w:ascii="Cambria" w:hAnsi="Cambria"/>
      <w:b/>
      <w:bCs/>
      <w:szCs w:val="32"/>
    </w:rPr>
  </w:style>
  <w:style w:type="paragraph" w:styleId="4">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5">
    <w:name w:val="heading 5"/>
    <w:basedOn w:val="1"/>
    <w:next w:val="1"/>
    <w:qFormat/>
    <w:uiPriority w:val="99"/>
    <w:pPr>
      <w:keepNext/>
      <w:keepLines/>
      <w:spacing w:before="280" w:after="290" w:line="376" w:lineRule="auto"/>
      <w:outlineLvl w:val="4"/>
    </w:pPr>
    <w:rPr>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next w:val="1"/>
    <w:qFormat/>
    <w:uiPriority w:val="0"/>
    <w:pPr>
      <w:spacing w:before="240" w:after="60"/>
      <w:jc w:val="center"/>
      <w:outlineLvl w:val="0"/>
    </w:pPr>
    <w:rPr>
      <w:rFonts w:eastAsia="宋体" w:asciiTheme="majorHAnsi" w:hAnsiTheme="majorHAnsi" w:cstheme="majorBidi"/>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15">
    <w:name w:val="标题 2 Char"/>
    <w:link w:val="3"/>
    <w:qFormat/>
    <w:uiPriority w:val="0"/>
    <w:rPr>
      <w:rFonts w:ascii="Cambria" w:hAnsi="Cambria"/>
      <w:b/>
      <w:bCs/>
      <w:szCs w:val="32"/>
    </w:rPr>
  </w:style>
  <w:style w:type="character" w:customStyle="1" w:styleId="16">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685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2021-08-19T00:13:00Z</dcterms:created>
  <dc:creator>WPS_378715443</dc:creator>
  <cp:lastModifiedBy>WPS_378715443</cp:lastModifiedBy>
  <cp:lastPrinted>2021-09-07T03:02:00Z</cp:lastPrinted>
  <dcterms:modified xsi:type="dcterms:W3CDTF">2021-09-17T03:58:25Z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2E4D39CC78084766A7E8FB32017E7672</vt:lpwstr>
  </property>
</Properties>
</file>