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156" w:beforeLines="50" w:line="560" w:lineRule="exact"/>
        <w:jc w:val="both"/>
        <w:textAlignment w:val="auto"/>
        <w:rPr>
          <w:rFonts w:hint="eastAsia"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312" w:beforeLines="100" w:line="56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w:t>
      </w:r>
      <w:r>
        <w:rPr>
          <w:rFonts w:hint="eastAsia" w:ascii="方正小标宋简体" w:hAnsi="方正小标宋简体" w:eastAsia="方正小标宋简体"/>
          <w:sz w:val="44"/>
          <w:szCs w:val="44"/>
          <w:lang w:val="en-US" w:eastAsia="zh-CN"/>
        </w:rPr>
        <w:t>烟台市</w:t>
      </w:r>
      <w:r>
        <w:rPr>
          <w:rFonts w:hint="eastAsia" w:ascii="方正小标宋简体" w:hAnsi="方正小标宋简体" w:eastAsia="方正小标宋简体"/>
          <w:sz w:val="44"/>
          <w:szCs w:val="44"/>
        </w:rPr>
        <w:t>关于优先发展城市公共交通的</w:t>
      </w:r>
    </w:p>
    <w:p>
      <w:pPr>
        <w:keepNext w:val="0"/>
        <w:keepLines w:val="0"/>
        <w:pageBreakBefore w:val="0"/>
        <w:widowControl w:val="0"/>
        <w:kinsoku/>
        <w:wordWrap/>
        <w:overflowPunct/>
        <w:topLinePunct w:val="0"/>
        <w:autoSpaceDE/>
        <w:autoSpaceDN/>
        <w:bidi w:val="0"/>
        <w:adjustRightInd/>
        <w:snapToGrid/>
        <w:spacing w:before="312" w:beforeLines="100" w:line="56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实施意见</w:t>
      </w:r>
      <w:r>
        <w:rPr>
          <w:rFonts w:hint="eastAsia" w:ascii="方正小标宋简体" w:hAnsi="方正小标宋简体" w:eastAsia="方正小标宋简体"/>
          <w:sz w:val="44"/>
          <w:szCs w:val="44"/>
          <w:lang w:eastAsia="zh-CN"/>
        </w:rPr>
        <w:t>（征求意见稿）</w:t>
      </w:r>
      <w:r>
        <w:rPr>
          <w:rFonts w:hint="eastAsia" w:ascii="方正小标宋简体" w:hAnsi="方正小标宋简体" w:eastAsia="方正小标宋简体"/>
          <w:sz w:val="44"/>
          <w:szCs w:val="44"/>
        </w:rPr>
        <w:t>》起草说明</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现将《关于优先发展城市公共交通的实施意见》（以下简称《实施意见》）起草的有关情况说明如下。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一、制定必要性</w:t>
      </w:r>
    </w:p>
    <w:p>
      <w:pPr>
        <w:spacing w:line="560" w:lineRule="exact"/>
        <w:ind w:firstLine="640" w:firstLineChars="200"/>
        <w:rPr>
          <w:rFonts w:eastAsia="仿宋_GB2312"/>
          <w:sz w:val="32"/>
        </w:rPr>
      </w:pPr>
      <w:r>
        <w:rPr>
          <w:rFonts w:hint="eastAsia" w:eastAsia="仿宋_GB2312"/>
          <w:sz w:val="32"/>
        </w:rPr>
        <w:t>城市公共交通是城市的重要基础设施，是与人民群众的生产、生活息息相关的公益性事业，是城市经济社会全面、协调、可持续发展的重要方面，是城市的重要“窗口”。落实优先发展城市公共交通政策，是提高交通资源利用效率、缓解城市交通堵塞的重要手段，对解决群众日常出行不便、提高人民群众生活水平等问题有十分重要的作用。同时，推进城市公共交通优先发展，又是一项庞大的社会系统工程，必然需要政府及有关部门、社会各方面的通力协作。因此，有必要制定出台《实施意见》，统领指导、全面推进全市城市公交的高质量发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二、制定依据</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（一）</w:t>
      </w:r>
      <w:r>
        <w:rPr>
          <w:rFonts w:ascii="Times New Roman" w:hAnsi="Times New Roman" w:eastAsia="仿宋_GB2312" w:cs="Times New Roman"/>
          <w:sz w:val="32"/>
        </w:rPr>
        <w:t>《城市公共汽电车</w:t>
      </w:r>
      <w:r>
        <w:rPr>
          <w:rFonts w:hint="eastAsia" w:ascii="Times New Roman" w:hAnsi="Times New Roman" w:eastAsia="仿宋_GB2312" w:cs="Times New Roman"/>
          <w:sz w:val="32"/>
        </w:rPr>
        <w:t>客运</w:t>
      </w:r>
      <w:r>
        <w:rPr>
          <w:rFonts w:ascii="Times New Roman" w:hAnsi="Times New Roman" w:eastAsia="仿宋_GB2312" w:cs="Times New Roman"/>
          <w:sz w:val="32"/>
        </w:rPr>
        <w:t>管理规定》；</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（二）</w:t>
      </w:r>
      <w:r>
        <w:rPr>
          <w:rFonts w:ascii="Times New Roman" w:hAnsi="Times New Roman" w:eastAsia="仿宋_GB2312" w:cs="Times New Roman"/>
          <w:sz w:val="32"/>
        </w:rPr>
        <w:t>《山东省道路运输条例》；</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_GB2312" w:cs="Times New Roman"/>
          <w:sz w:val="32"/>
        </w:rPr>
        <w:t>（三）</w:t>
      </w:r>
      <w:r>
        <w:rPr>
          <w:rFonts w:ascii="Times New Roman" w:hAnsi="Times New Roman" w:eastAsia="仿宋" w:cs="Times New Roman"/>
          <w:sz w:val="32"/>
          <w:szCs w:val="32"/>
        </w:rPr>
        <w:t>《国务院关于城市优先发展公共交通的实施意见》（国发〔2012〕64号）；</w:t>
      </w:r>
    </w:p>
    <w:p>
      <w:pPr>
        <w:spacing w:line="560" w:lineRule="exact"/>
        <w:ind w:firstLine="640" w:firstLineChars="200"/>
        <w:rPr>
          <w:rFonts w:ascii="仿宋" w:hAnsi="仿宋" w:eastAsia="仿宋"/>
          <w:sz w:val="32"/>
          <w:szCs w:val="32"/>
        </w:rPr>
      </w:pPr>
      <w:r>
        <w:rPr>
          <w:rFonts w:hint="eastAsia" w:ascii="Times New Roman" w:hAnsi="Times New Roman" w:eastAsia="仿宋_GB2312" w:cs="Times New Roman"/>
          <w:sz w:val="32"/>
        </w:rPr>
        <w:t>（四）</w:t>
      </w:r>
      <w:r>
        <w:rPr>
          <w:rFonts w:ascii="Times New Roman" w:hAnsi="Times New Roman" w:eastAsia="仿宋" w:cs="Times New Roman"/>
          <w:sz w:val="32"/>
          <w:szCs w:val="32"/>
        </w:rPr>
        <w:t>《山东省人民政府办</w:t>
      </w:r>
      <w:r>
        <w:rPr>
          <w:rFonts w:ascii="仿宋" w:hAnsi="仿宋" w:eastAsia="仿宋"/>
          <w:sz w:val="32"/>
          <w:szCs w:val="32"/>
        </w:rPr>
        <w:t>公厅关于优先发展公共交通的若干意见》</w:t>
      </w:r>
      <w:r>
        <w:rPr>
          <w:rFonts w:hint="eastAsia" w:ascii="仿宋" w:hAnsi="仿宋" w:eastAsia="仿宋"/>
          <w:sz w:val="32"/>
          <w:szCs w:val="32"/>
        </w:rPr>
        <w:t>（鲁</w:t>
      </w:r>
      <w:r>
        <w:rPr>
          <w:rFonts w:ascii="仿宋" w:hAnsi="仿宋" w:eastAsia="仿宋"/>
          <w:sz w:val="32"/>
          <w:szCs w:val="32"/>
        </w:rPr>
        <w:t>政办</w:t>
      </w:r>
      <w:r>
        <w:rPr>
          <w:rFonts w:hint="eastAsia" w:ascii="仿宋" w:hAnsi="仿宋" w:eastAsia="仿宋"/>
          <w:sz w:val="32"/>
          <w:szCs w:val="32"/>
        </w:rPr>
        <w:t>发〔20</w:t>
      </w: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29</w:t>
      </w:r>
      <w:r>
        <w:rPr>
          <w:rFonts w:hint="eastAsia" w:ascii="仿宋" w:hAnsi="仿宋" w:eastAsia="仿宋"/>
          <w:sz w:val="32"/>
          <w:szCs w:val="32"/>
        </w:rPr>
        <w:t>号）；</w:t>
      </w:r>
    </w:p>
    <w:p>
      <w:pPr>
        <w:spacing w:line="560" w:lineRule="exact"/>
        <w:ind w:firstLine="640" w:firstLineChars="200"/>
        <w:rPr>
          <w:rFonts w:hint="eastAsia" w:ascii="仿宋" w:hAnsi="仿宋" w:eastAsia="仿宋"/>
          <w:sz w:val="32"/>
          <w:szCs w:val="32"/>
        </w:rPr>
      </w:pPr>
      <w:r>
        <w:rPr>
          <w:rFonts w:hint="eastAsia" w:ascii="Times New Roman" w:hAnsi="Times New Roman" w:eastAsia="仿宋_GB2312" w:cs="Times New Roman"/>
          <w:sz w:val="32"/>
        </w:rPr>
        <w:t>（五）</w:t>
      </w:r>
      <w:r>
        <w:rPr>
          <w:rFonts w:hint="eastAsia" w:ascii="仿宋" w:hAnsi="仿宋" w:eastAsia="仿宋"/>
          <w:sz w:val="32"/>
          <w:szCs w:val="32"/>
        </w:rPr>
        <w:t>《山东省人民政府办公厅关于进一步推动城市公共交通优先发展的实施意见》（鲁政办字〔2022〕110号）</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六）</w:t>
      </w:r>
      <w:r>
        <w:rPr>
          <w:rFonts w:hint="eastAsia" w:ascii="仿宋" w:hAnsi="仿宋" w:eastAsia="仿宋"/>
          <w:sz w:val="32"/>
          <w:szCs w:val="32"/>
        </w:rPr>
        <w:t>《山东省交通运输厅等16部门关于进一步明确《关于进一步推动城市公共交通优先发展的指导意见》重点任务分工的通知》（鲁交城市〔2023〕3号）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三、起草过程</w:t>
      </w:r>
    </w:p>
    <w:p>
      <w:pPr>
        <w:spacing w:line="560" w:lineRule="exact"/>
        <w:ind w:firstLine="640" w:firstLineChars="200"/>
        <w:rPr>
          <w:rFonts w:eastAsia="仿宋_GB2312"/>
          <w:sz w:val="32"/>
        </w:rPr>
      </w:pPr>
      <w:r>
        <w:rPr>
          <w:rFonts w:hint="eastAsia" w:eastAsia="仿宋_GB2312"/>
          <w:sz w:val="32"/>
        </w:rPr>
        <w:t>烟台市交通运输局在《实施意见》编制过程中，多次召开相关部门调研会、专家论证会、企业座谈会，在前期调研、咨询论证、征求意见、修改完善的基础上，形成了《实施意见》征求意见稿。</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四、主要内容</w:t>
      </w:r>
    </w:p>
    <w:p>
      <w:pPr>
        <w:pStyle w:val="4"/>
        <w:spacing w:before="0" w:beforeAutospacing="0" w:after="0" w:afterAutospacing="0" w:line="560" w:lineRule="exact"/>
        <w:ind w:firstLine="640" w:firstLineChars="200"/>
        <w:jc w:val="both"/>
        <w:rPr>
          <w:rFonts w:eastAsia="仿宋_GB2312" w:asciiTheme="minorHAnsi" w:hAnsiTheme="minorHAnsi" w:cstheme="minorBidi"/>
          <w:kern w:val="2"/>
          <w:sz w:val="32"/>
        </w:rPr>
      </w:pPr>
      <w:r>
        <w:rPr>
          <w:rFonts w:hint="eastAsia" w:eastAsia="仿宋_GB2312" w:asciiTheme="minorHAnsi" w:hAnsiTheme="minorHAnsi" w:cstheme="minorBidi"/>
          <w:kern w:val="2"/>
          <w:sz w:val="32"/>
        </w:rPr>
        <w:t>《实施意见》分为三个部分，包括总体要求、重点任务及保障措施。</w:t>
      </w:r>
    </w:p>
    <w:p>
      <w:pPr>
        <w:pStyle w:val="4"/>
        <w:spacing w:before="0" w:beforeAutospacing="0" w:after="0" w:afterAutospacing="0" w:line="560" w:lineRule="exact"/>
        <w:jc w:val="both"/>
        <w:rPr>
          <w:rFonts w:eastAsia="仿宋_GB2312" w:asciiTheme="minorHAnsi" w:hAnsiTheme="minorHAnsi" w:cstheme="minorBidi"/>
          <w:kern w:val="2"/>
          <w:sz w:val="32"/>
        </w:rPr>
      </w:pPr>
      <w:r>
        <w:rPr>
          <w:rFonts w:hint="eastAsia" w:eastAsia="仿宋_GB2312" w:asciiTheme="minorHAnsi" w:hAnsiTheme="minorHAnsi" w:cstheme="minorBidi"/>
          <w:kern w:val="2"/>
          <w:sz w:val="32"/>
        </w:rPr>
        <w:t>　　</w:t>
      </w:r>
      <w:r>
        <w:rPr>
          <w:rFonts w:hint="eastAsia" w:ascii="楷体" w:hAnsi="楷体" w:eastAsia="楷体" w:cstheme="minorBidi"/>
          <w:kern w:val="2"/>
          <w:sz w:val="32"/>
        </w:rPr>
        <w:t>（一）关于总体要求。</w:t>
      </w:r>
      <w:r>
        <w:rPr>
          <w:rFonts w:hint="eastAsia" w:eastAsia="仿宋_GB2312" w:asciiTheme="minorHAnsi" w:hAnsiTheme="minorHAnsi" w:cstheme="minorBidi"/>
          <w:kern w:val="2"/>
          <w:sz w:val="32"/>
        </w:rPr>
        <w:t>该部分主要包括指导思想、基本原则和主要目标三方面内容。《实施意见》明确了城市公共交通发展坚持以人民为中心的发展思想，落实新发展理念，以建设人民群众满意的城市公共交通为根本出发点，构建以城市公共交通为主的机动化出行方式，促进城市公共交通领域健康可持续发展，不断满足人民群众对城市公共交通的新需求，形成城市公共交通优先发展的新格局。</w:t>
      </w:r>
    </w:p>
    <w:p>
      <w:pPr>
        <w:pStyle w:val="4"/>
        <w:spacing w:before="0" w:beforeAutospacing="0" w:after="0" w:afterAutospacing="0" w:line="560" w:lineRule="exact"/>
        <w:jc w:val="both"/>
        <w:rPr>
          <w:rFonts w:eastAsia="仿宋_GB2312" w:asciiTheme="minorHAnsi" w:hAnsiTheme="minorHAnsi" w:cstheme="minorBidi"/>
          <w:kern w:val="2"/>
          <w:sz w:val="32"/>
        </w:rPr>
      </w:pPr>
      <w:r>
        <w:rPr>
          <w:rFonts w:hint="eastAsia" w:eastAsia="仿宋_GB2312" w:asciiTheme="minorHAnsi" w:hAnsiTheme="minorHAnsi" w:cstheme="minorBidi"/>
          <w:kern w:val="2"/>
          <w:sz w:val="32"/>
        </w:rPr>
        <w:t>　　</w:t>
      </w:r>
      <w:r>
        <w:rPr>
          <w:rFonts w:hint="eastAsia" w:ascii="楷体" w:hAnsi="楷体" w:eastAsia="楷体" w:cstheme="minorBidi"/>
          <w:kern w:val="2"/>
          <w:sz w:val="32"/>
        </w:rPr>
        <w:t>（二）关于重点任务。</w:t>
      </w:r>
      <w:r>
        <w:rPr>
          <w:rFonts w:hint="eastAsia" w:eastAsia="仿宋_GB2312" w:asciiTheme="minorHAnsi" w:hAnsiTheme="minorHAnsi" w:cstheme="minorBidi"/>
          <w:kern w:val="2"/>
          <w:sz w:val="32"/>
        </w:rPr>
        <w:t>该部分提出了城市公共交通在规划编制实施、基础设施建设、政府财政投入、路权优先保障、服务品质提升和创新协调发展等六个方面的重点任务。</w:t>
      </w:r>
    </w:p>
    <w:p>
      <w:pPr>
        <w:pStyle w:val="4"/>
        <w:spacing w:before="0" w:beforeAutospacing="0" w:after="0" w:afterAutospacing="0" w:line="560" w:lineRule="exact"/>
        <w:jc w:val="both"/>
        <w:rPr>
          <w:rFonts w:ascii="仿宋" w:hAnsi="仿宋" w:eastAsia="仿宋" w:cstheme="minorBidi"/>
          <w:kern w:val="2"/>
          <w:sz w:val="32"/>
        </w:rPr>
      </w:pPr>
      <w:r>
        <w:rPr>
          <w:rFonts w:hint="eastAsia" w:eastAsia="仿宋_GB2312" w:asciiTheme="minorHAnsi" w:hAnsiTheme="minorHAnsi" w:cstheme="minorBidi"/>
          <w:kern w:val="2"/>
          <w:sz w:val="32"/>
        </w:rPr>
        <w:t>　</w:t>
      </w:r>
      <w:r>
        <w:rPr>
          <w:rFonts w:hint="eastAsia" w:ascii="仿宋" w:hAnsi="仿宋" w:eastAsia="仿宋" w:cstheme="minorBidi"/>
          <w:kern w:val="2"/>
          <w:sz w:val="32"/>
        </w:rPr>
        <w:t>　</w:t>
      </w:r>
      <w:r>
        <w:rPr>
          <w:rFonts w:ascii="仿宋" w:hAnsi="仿宋" w:eastAsia="仿宋" w:cstheme="minorBidi"/>
          <w:kern w:val="2"/>
          <w:sz w:val="32"/>
        </w:rPr>
        <w:t>1-</w:t>
      </w:r>
      <w:r>
        <w:rPr>
          <w:rFonts w:hint="eastAsia" w:ascii="仿宋" w:hAnsi="仿宋" w:eastAsia="仿宋" w:cstheme="minorBidi"/>
          <w:kern w:val="2"/>
          <w:sz w:val="32"/>
        </w:rPr>
        <w:t>强化城市公共交通规划的编制和实施。具体包括规范规划编制、严格落实规划、加强规划衔接等方面内容，突出了规划的科学性、衔接性，提出了促进规划落地实施的政策措施。</w:t>
      </w:r>
    </w:p>
    <w:p>
      <w:pPr>
        <w:pStyle w:val="4"/>
        <w:spacing w:before="0" w:beforeAutospacing="0" w:after="0" w:afterAutospacing="0" w:line="560" w:lineRule="exact"/>
        <w:jc w:val="both"/>
        <w:rPr>
          <w:rFonts w:ascii="仿宋" w:hAnsi="仿宋" w:eastAsia="仿宋" w:cstheme="minorBidi"/>
          <w:kern w:val="2"/>
          <w:sz w:val="32"/>
        </w:rPr>
      </w:pPr>
      <w:r>
        <w:rPr>
          <w:rFonts w:hint="eastAsia" w:ascii="仿宋" w:hAnsi="仿宋" w:eastAsia="仿宋" w:cstheme="minorBidi"/>
          <w:kern w:val="2"/>
          <w:sz w:val="32"/>
        </w:rPr>
        <w:t>　　</w:t>
      </w:r>
      <w:r>
        <w:rPr>
          <w:rFonts w:ascii="仿宋" w:hAnsi="仿宋" w:eastAsia="仿宋" w:cstheme="minorBidi"/>
          <w:kern w:val="2"/>
          <w:sz w:val="32"/>
        </w:rPr>
        <w:t>2-</w:t>
      </w:r>
      <w:r>
        <w:rPr>
          <w:rFonts w:hint="eastAsia" w:ascii="仿宋" w:hAnsi="仿宋" w:eastAsia="仿宋" w:cstheme="minorBidi"/>
          <w:kern w:val="2"/>
          <w:sz w:val="32"/>
        </w:rPr>
        <w:t>完善城市公共交通基础设施。具体包括落实城市公共交通配套设施建设、加强城市公共交通设施用地保障、推进城市公共交通设施用地综合开发、持续推进新能源公交车应用与配套设施建设等方面内容，强调了严格落实“五同步”要求，鼓励公交场站的综合开发利用。</w:t>
      </w:r>
    </w:p>
    <w:p>
      <w:pPr>
        <w:pStyle w:val="4"/>
        <w:spacing w:before="0" w:beforeAutospacing="0" w:after="0" w:afterAutospacing="0" w:line="560" w:lineRule="exact"/>
        <w:jc w:val="both"/>
        <w:rPr>
          <w:rFonts w:ascii="仿宋" w:hAnsi="仿宋" w:eastAsia="仿宋" w:cstheme="minorBidi"/>
          <w:kern w:val="2"/>
          <w:sz w:val="32"/>
        </w:rPr>
      </w:pPr>
      <w:r>
        <w:rPr>
          <w:rFonts w:hint="eastAsia" w:ascii="仿宋" w:hAnsi="仿宋" w:eastAsia="仿宋" w:cstheme="minorBidi"/>
          <w:kern w:val="2"/>
          <w:sz w:val="32"/>
        </w:rPr>
        <w:t>　　3</w:t>
      </w:r>
      <w:r>
        <w:rPr>
          <w:rFonts w:ascii="仿宋" w:hAnsi="仿宋" w:eastAsia="仿宋" w:cstheme="minorBidi"/>
          <w:kern w:val="2"/>
          <w:sz w:val="32"/>
        </w:rPr>
        <w:t>-</w:t>
      </w:r>
      <w:r>
        <w:rPr>
          <w:rFonts w:hint="eastAsia" w:ascii="仿宋" w:hAnsi="仿宋" w:eastAsia="仿宋" w:cstheme="minorBidi"/>
          <w:kern w:val="2"/>
          <w:sz w:val="32"/>
        </w:rPr>
        <w:t>加大城市公共交通财政投入。具体包括健全城市公共交通精准财政补贴机制、完善城市公共交通发展保障机制、落实国家关于城市公共交通有关税费优惠政策等方面内容，积极推行成本规制管理，要求建立可量化、可考核的公共交通服务质量考核、成本核算及绩效评价体系，明确了对实行低票价、减免票、承担政府指令性任务等形成的政策性亏损，市县财政给予适当补贴补偿，落实好国家关于城市公共交通有关税费优惠政策。</w:t>
      </w:r>
    </w:p>
    <w:p>
      <w:pPr>
        <w:pStyle w:val="4"/>
        <w:spacing w:before="0" w:beforeAutospacing="0" w:after="0" w:afterAutospacing="0" w:line="560" w:lineRule="exact"/>
        <w:jc w:val="both"/>
        <w:rPr>
          <w:rFonts w:ascii="仿宋" w:hAnsi="仿宋" w:eastAsia="仿宋" w:cstheme="minorBidi"/>
          <w:kern w:val="2"/>
          <w:sz w:val="32"/>
        </w:rPr>
      </w:pPr>
      <w:r>
        <w:rPr>
          <w:rFonts w:hint="eastAsia" w:ascii="仿宋" w:hAnsi="仿宋" w:eastAsia="仿宋" w:cstheme="minorBidi"/>
          <w:kern w:val="2"/>
          <w:sz w:val="32"/>
        </w:rPr>
        <w:t>　　</w:t>
      </w:r>
      <w:r>
        <w:rPr>
          <w:rFonts w:ascii="仿宋" w:hAnsi="仿宋" w:eastAsia="仿宋" w:cstheme="minorBidi"/>
          <w:kern w:val="2"/>
          <w:sz w:val="32"/>
        </w:rPr>
        <w:t>4-</w:t>
      </w:r>
      <w:r>
        <w:rPr>
          <w:rFonts w:hint="eastAsia" w:ascii="仿宋" w:hAnsi="仿宋" w:eastAsia="仿宋" w:cstheme="minorBidi"/>
          <w:kern w:val="2"/>
          <w:sz w:val="32"/>
        </w:rPr>
        <w:t>切实保障城市公共交通路权优先。具体包括加快公交专用道建设、严格公交专用道使用监管、科学设置公交优先通行信号系统等方面内容，明确公交专用道设置条件，强调对占用公交专用道、违法占道停车等交通违法行为实行严格监管和处罚，积极推进公交信号优先控制的应用，保障公交路权优先。</w:t>
      </w:r>
    </w:p>
    <w:p>
      <w:pPr>
        <w:pStyle w:val="4"/>
        <w:spacing w:before="0" w:beforeAutospacing="0" w:after="0" w:afterAutospacing="0" w:line="560" w:lineRule="exact"/>
        <w:jc w:val="both"/>
        <w:rPr>
          <w:rFonts w:ascii="仿宋" w:hAnsi="仿宋" w:eastAsia="仿宋" w:cstheme="minorBidi"/>
          <w:kern w:val="2"/>
          <w:sz w:val="32"/>
        </w:rPr>
      </w:pPr>
      <w:r>
        <w:rPr>
          <w:rFonts w:hint="eastAsia" w:ascii="仿宋" w:hAnsi="仿宋" w:eastAsia="仿宋" w:cstheme="minorBidi"/>
          <w:kern w:val="2"/>
          <w:sz w:val="32"/>
        </w:rPr>
        <w:t>　　</w:t>
      </w:r>
      <w:r>
        <w:rPr>
          <w:rFonts w:ascii="仿宋" w:hAnsi="仿宋" w:eastAsia="仿宋" w:cstheme="minorBidi"/>
          <w:kern w:val="2"/>
          <w:sz w:val="32"/>
        </w:rPr>
        <w:t>5-</w:t>
      </w:r>
      <w:r>
        <w:rPr>
          <w:rFonts w:hint="eastAsia" w:ascii="仿宋" w:hAnsi="仿宋" w:eastAsia="仿宋" w:cstheme="minorBidi"/>
          <w:kern w:val="2"/>
          <w:sz w:val="32"/>
        </w:rPr>
        <w:t>着力提升城市公共交通服务品质。具体包括完善公共交通服务体系、推进城市公共交通系统智慧化建设、深化公共交通行业精神文明建设等方面内容，提出构建快线、干线、支线、微线等分层服务网络，满足不同层次、多元化、差别化的出行需求，持续拓展公交服务广度和深度，从运营、服务、管理三个方面全力提升城市公共交通服务品质。</w:t>
      </w:r>
    </w:p>
    <w:p>
      <w:pPr>
        <w:pStyle w:val="4"/>
        <w:spacing w:before="0" w:beforeAutospacing="0" w:after="0" w:afterAutospacing="0" w:line="560" w:lineRule="exact"/>
        <w:jc w:val="both"/>
        <w:rPr>
          <w:rFonts w:ascii="仿宋" w:hAnsi="仿宋" w:eastAsia="仿宋" w:cstheme="minorBidi"/>
          <w:kern w:val="2"/>
          <w:sz w:val="32"/>
        </w:rPr>
      </w:pPr>
      <w:r>
        <w:rPr>
          <w:rFonts w:hint="eastAsia" w:ascii="仿宋" w:hAnsi="仿宋" w:eastAsia="仿宋" w:cstheme="minorBidi"/>
          <w:kern w:val="2"/>
          <w:sz w:val="32"/>
        </w:rPr>
        <w:t>　　</w:t>
      </w:r>
      <w:r>
        <w:rPr>
          <w:rFonts w:ascii="仿宋" w:hAnsi="仿宋" w:eastAsia="仿宋" w:cstheme="minorBidi"/>
          <w:kern w:val="2"/>
          <w:sz w:val="32"/>
        </w:rPr>
        <w:t>6-</w:t>
      </w:r>
      <w:r>
        <w:rPr>
          <w:rFonts w:hint="eastAsia" w:ascii="仿宋" w:hAnsi="仿宋" w:eastAsia="仿宋" w:cstheme="minorBidi"/>
          <w:kern w:val="2"/>
          <w:sz w:val="32"/>
        </w:rPr>
        <w:t>促进公共交通创新协调发展。具体包括加强城市公共交通安全管理、促进综合交通运输协调发展、支持公交企业创新发展等方面内容，提出了健全安全应急预案管理体系，定期组织培训演练，切实保障行业安全稳定，鼓励支持公交企业创新发展，激发行业内生动力。</w:t>
      </w:r>
    </w:p>
    <w:p>
      <w:pPr>
        <w:ind w:firstLine="640"/>
        <w:rPr>
          <w:rFonts w:hint="eastAsia" w:eastAsia="仿宋_GB2312" w:asciiTheme="minorHAnsi" w:hAnsiTheme="minorHAnsi" w:cstheme="minorBidi"/>
          <w:kern w:val="2"/>
          <w:sz w:val="32"/>
        </w:rPr>
      </w:pPr>
      <w:r>
        <w:rPr>
          <w:rFonts w:hint="eastAsia" w:ascii="楷体" w:hAnsi="楷体" w:eastAsia="楷体" w:cstheme="minorBidi"/>
          <w:kern w:val="2"/>
          <w:sz w:val="32"/>
        </w:rPr>
        <w:t>（三）关于保障措施。</w:t>
      </w:r>
      <w:r>
        <w:rPr>
          <w:rFonts w:hint="eastAsia" w:eastAsia="仿宋_GB2312" w:asciiTheme="minorHAnsi" w:hAnsiTheme="minorHAnsi" w:cstheme="minorBidi"/>
          <w:kern w:val="2"/>
          <w:sz w:val="32"/>
        </w:rPr>
        <w:t>该部分主要包括完善工作机制、健全政策体系、强化社会监督、维护职工合法权益四方面内容，提出要建立针对城市公交问题的部门联动综合协调机制，健全和完善公共交通优先发展的相关政策法规体系，研究制定支撑公共交通优先发展的标准规范，加大对公交优先发展工作的宣传力度，营造公交优先发展的氛围，加强公交从业人员劳工保护，关爱职工身心健康，维护职工合法权益。</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overflowPunct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烟台市关于优先发展城市公共交通的</w:t>
      </w:r>
    </w:p>
    <w:p>
      <w:pPr>
        <w:overflowPunct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实施意见</w:t>
      </w:r>
    </w:p>
    <w:p>
      <w:pPr>
        <w:overflowPunct w:val="0"/>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overflowPunct w:val="0"/>
        <w:spacing w:line="560" w:lineRule="exact"/>
        <w:ind w:firstLine="640" w:firstLineChars="200"/>
        <w:rPr>
          <w:rFonts w:hint="eastAsia" w:ascii="仿宋" w:hAnsi="仿宋" w:eastAsia="仿宋"/>
          <w:sz w:val="32"/>
          <w:szCs w:val="32"/>
        </w:rPr>
      </w:pPr>
    </w:p>
    <w:p>
      <w:pPr>
        <w:overflowPunct w:val="0"/>
        <w:spacing w:line="560" w:lineRule="exact"/>
        <w:ind w:firstLine="640" w:firstLineChars="200"/>
        <w:rPr>
          <w:rFonts w:ascii="仿宋" w:hAnsi="仿宋" w:eastAsia="仿宋"/>
          <w:sz w:val="32"/>
          <w:szCs w:val="32"/>
        </w:rPr>
      </w:pPr>
      <w:r>
        <w:rPr>
          <w:rFonts w:hint="eastAsia" w:ascii="仿宋" w:hAnsi="仿宋" w:eastAsia="仿宋"/>
          <w:sz w:val="32"/>
          <w:szCs w:val="32"/>
        </w:rPr>
        <w:t>为了进一步贯彻落实城市公共交通优先发展战略，积极践行绿色发展理念，巩固提升“公交都市”创建成果，进一步提高城市公共交通服务品质，助力建设制造业大市、海洋经济强市、宜业宜居宜游城市和现代化国际滨海城市，根据《国务院关于城市优先发展公共交通的指导意见》（国发〔2012〕64号）、</w:t>
      </w:r>
      <w:r>
        <w:rPr>
          <w:rFonts w:ascii="仿宋" w:hAnsi="仿宋" w:eastAsia="仿宋"/>
          <w:sz w:val="32"/>
          <w:szCs w:val="32"/>
        </w:rPr>
        <w:t>《</w:t>
      </w:r>
      <w:r>
        <w:rPr>
          <w:rFonts w:hint="eastAsia" w:ascii="仿宋" w:hAnsi="仿宋" w:eastAsia="仿宋"/>
          <w:sz w:val="32"/>
          <w:szCs w:val="32"/>
        </w:rPr>
        <w:t>山东省</w:t>
      </w:r>
      <w:r>
        <w:rPr>
          <w:rFonts w:ascii="仿宋" w:hAnsi="仿宋" w:eastAsia="仿宋"/>
          <w:sz w:val="32"/>
          <w:szCs w:val="32"/>
        </w:rPr>
        <w:t>人民政府办公厅关于优先发展公共交通的若干意见》</w:t>
      </w:r>
      <w:r>
        <w:rPr>
          <w:rFonts w:hint="eastAsia" w:ascii="仿宋" w:hAnsi="仿宋" w:eastAsia="仿宋"/>
          <w:sz w:val="32"/>
          <w:szCs w:val="32"/>
        </w:rPr>
        <w:t>（鲁</w:t>
      </w:r>
      <w:r>
        <w:rPr>
          <w:rFonts w:ascii="仿宋" w:hAnsi="仿宋" w:eastAsia="仿宋"/>
          <w:sz w:val="32"/>
          <w:szCs w:val="32"/>
        </w:rPr>
        <w:t>政办</w:t>
      </w:r>
      <w:r>
        <w:rPr>
          <w:rFonts w:hint="eastAsia" w:ascii="仿宋" w:hAnsi="仿宋" w:eastAsia="仿宋"/>
          <w:sz w:val="32"/>
          <w:szCs w:val="32"/>
        </w:rPr>
        <w:t>发〔20</w:t>
      </w: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29</w:t>
      </w:r>
      <w:r>
        <w:rPr>
          <w:rFonts w:hint="eastAsia" w:ascii="仿宋" w:hAnsi="仿宋" w:eastAsia="仿宋"/>
          <w:sz w:val="32"/>
          <w:szCs w:val="32"/>
        </w:rPr>
        <w:t>号）、《山东省人民政府办公厅关于进一步推动城市公共交通优先发展的指导意见》（鲁政办字〔2022〕110号）等有关规定，结合我市实际，提出如下实施意见。</w:t>
      </w:r>
    </w:p>
    <w:p>
      <w:pPr>
        <w:overflowPunct w:val="0"/>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总体要求</w:t>
      </w:r>
    </w:p>
    <w:p>
      <w:pPr>
        <w:overflowPunct w:val="0"/>
        <w:spacing w:line="560" w:lineRule="exact"/>
        <w:ind w:firstLine="640" w:firstLineChars="200"/>
        <w:rPr>
          <w:rFonts w:ascii="楷体" w:hAnsi="楷体" w:eastAsia="楷体"/>
          <w:sz w:val="32"/>
          <w:szCs w:val="32"/>
        </w:rPr>
      </w:pPr>
      <w:r>
        <w:rPr>
          <w:rFonts w:hint="eastAsia" w:ascii="楷体" w:hAnsi="楷体" w:eastAsia="楷体"/>
          <w:sz w:val="32"/>
          <w:szCs w:val="32"/>
        </w:rPr>
        <w:t>（一）指导思想</w:t>
      </w:r>
    </w:p>
    <w:p>
      <w:pPr>
        <w:overflowPunct w:val="0"/>
        <w:spacing w:line="560" w:lineRule="exact"/>
        <w:ind w:firstLine="640" w:firstLineChars="200"/>
        <w:rPr>
          <w:rFonts w:ascii="仿宋" w:hAnsi="仿宋" w:eastAsia="仿宋"/>
          <w:sz w:val="32"/>
          <w:szCs w:val="32"/>
        </w:rPr>
      </w:pPr>
      <w:r>
        <w:rPr>
          <w:rFonts w:hint="eastAsia" w:ascii="仿宋" w:hAnsi="仿宋" w:eastAsia="仿宋"/>
          <w:sz w:val="32"/>
          <w:szCs w:val="32"/>
        </w:rPr>
        <w:t>以习近平新时代中国特色社会主义思想为指导，深入贯彻党的二十大精神，坚持以推动高质量发展为主题，以建设人民群众满意的城市公共交通为根本出发点，突出城市公共交通的公益属性，强化政府主体责任，加强统筹协调，积极创新体制机制，在规划布局、财税扶持、设施建设、投资安排、运营服务、路权分配等方面，明确发展目标，给予优先保障，促进城市公共交通领域健康可持续发展，形成城市公共交通优先发展的新格局。</w:t>
      </w:r>
    </w:p>
    <w:p>
      <w:pPr>
        <w:overflowPunct w:val="0"/>
        <w:spacing w:line="560" w:lineRule="exact"/>
        <w:ind w:firstLine="640" w:firstLineChars="200"/>
        <w:rPr>
          <w:rFonts w:ascii="楷体" w:hAnsi="楷体" w:eastAsia="楷体"/>
          <w:sz w:val="32"/>
          <w:szCs w:val="32"/>
        </w:rPr>
      </w:pPr>
      <w:r>
        <w:rPr>
          <w:rFonts w:hint="eastAsia" w:ascii="楷体" w:hAnsi="楷体" w:eastAsia="楷体"/>
          <w:sz w:val="32"/>
          <w:szCs w:val="32"/>
        </w:rPr>
        <w:t>（二）基本原则</w:t>
      </w:r>
    </w:p>
    <w:p>
      <w:pPr>
        <w:overflowPunct w:val="0"/>
        <w:spacing w:line="560" w:lineRule="exact"/>
        <w:ind w:firstLine="642" w:firstLineChars="200"/>
        <w:rPr>
          <w:rFonts w:ascii="楷体" w:hAnsi="楷体" w:eastAsia="楷体"/>
          <w:sz w:val="32"/>
          <w:szCs w:val="32"/>
        </w:rPr>
      </w:pPr>
      <w:r>
        <w:rPr>
          <w:rFonts w:hint="eastAsia" w:ascii="仿宋" w:hAnsi="仿宋" w:eastAsia="仿宋"/>
          <w:b/>
          <w:bCs/>
          <w:sz w:val="32"/>
          <w:szCs w:val="32"/>
        </w:rPr>
        <w:t>1.以人为本，品质优先。</w:t>
      </w:r>
      <w:r>
        <w:rPr>
          <w:rFonts w:hint="eastAsia" w:ascii="仿宋" w:hAnsi="仿宋" w:eastAsia="仿宋"/>
          <w:sz w:val="32"/>
          <w:szCs w:val="32"/>
        </w:rPr>
        <w:t>提高城市公共交通供给能力和服务品质，增强城市公共交通吸引力和竞争力，让公众共享城市公共交通发展成果。</w:t>
      </w:r>
    </w:p>
    <w:p>
      <w:pPr>
        <w:pStyle w:val="4"/>
        <w:widowControl/>
        <w:overflowPunct w:val="0"/>
        <w:spacing w:before="0" w:beforeAutospacing="0" w:after="0" w:afterAutospacing="0" w:line="560" w:lineRule="exact"/>
        <w:ind w:firstLine="642" w:firstLineChars="200"/>
        <w:jc w:val="both"/>
        <w:rPr>
          <w:rFonts w:ascii="仿宋" w:hAnsi="仿宋" w:eastAsia="仿宋" w:cstheme="minorBidi"/>
          <w:kern w:val="2"/>
          <w:sz w:val="32"/>
          <w:szCs w:val="32"/>
        </w:rPr>
      </w:pPr>
      <w:r>
        <w:rPr>
          <w:rFonts w:hint="eastAsia" w:ascii="仿宋" w:hAnsi="仿宋" w:eastAsia="仿宋" w:cstheme="minorBidi"/>
          <w:b/>
          <w:bCs/>
          <w:kern w:val="2"/>
          <w:sz w:val="32"/>
          <w:szCs w:val="32"/>
        </w:rPr>
        <w:t>2.政府主导，社会参与。</w:t>
      </w:r>
      <w:r>
        <w:rPr>
          <w:rFonts w:hint="eastAsia" w:ascii="仿宋" w:hAnsi="仿宋" w:eastAsia="仿宋" w:cstheme="minorBidi"/>
          <w:kern w:val="2"/>
          <w:sz w:val="32"/>
          <w:szCs w:val="32"/>
        </w:rPr>
        <w:t>优先发展城市公共交通是城市人民政府的主体责任。市、县级人民政府、有关部门要按照职责分工，主动协调、密切配合，加强政策扶持，引导社会资金参与城市公共交通多元化发展，统筹解决城市公共交通发展的重大问题。</w:t>
      </w:r>
    </w:p>
    <w:p>
      <w:pPr>
        <w:pStyle w:val="4"/>
        <w:widowControl/>
        <w:overflowPunct w:val="0"/>
        <w:spacing w:before="0" w:beforeAutospacing="0" w:after="0" w:afterAutospacing="0" w:line="560" w:lineRule="exact"/>
        <w:ind w:firstLine="642" w:firstLineChars="200"/>
        <w:jc w:val="both"/>
        <w:rPr>
          <w:rFonts w:ascii="仿宋" w:hAnsi="仿宋" w:eastAsia="仿宋" w:cstheme="minorBidi"/>
          <w:kern w:val="2"/>
          <w:sz w:val="32"/>
          <w:szCs w:val="32"/>
        </w:rPr>
      </w:pPr>
      <w:r>
        <w:rPr>
          <w:rFonts w:hint="eastAsia" w:ascii="仿宋" w:hAnsi="仿宋" w:eastAsia="仿宋" w:cstheme="minorBidi"/>
          <w:b/>
          <w:bCs/>
          <w:kern w:val="2"/>
          <w:sz w:val="32"/>
          <w:szCs w:val="32"/>
        </w:rPr>
        <w:t>3.系统推进，深化创新。</w:t>
      </w:r>
      <w:r>
        <w:rPr>
          <w:rFonts w:ascii="仿宋" w:hAnsi="仿宋" w:eastAsia="仿宋" w:cstheme="minorBidi"/>
          <w:kern w:val="2"/>
          <w:sz w:val="32"/>
          <w:szCs w:val="32"/>
        </w:rPr>
        <w:t>以</w:t>
      </w:r>
      <w:r>
        <w:rPr>
          <w:rFonts w:hint="eastAsia" w:ascii="仿宋" w:hAnsi="仿宋" w:eastAsia="仿宋" w:cstheme="minorBidi"/>
          <w:kern w:val="2"/>
          <w:sz w:val="32"/>
          <w:szCs w:val="32"/>
        </w:rPr>
        <w:t>需求为导向，以</w:t>
      </w:r>
      <w:r>
        <w:rPr>
          <w:rFonts w:ascii="仿宋" w:hAnsi="仿宋" w:eastAsia="仿宋" w:cstheme="minorBidi"/>
          <w:kern w:val="2"/>
          <w:sz w:val="32"/>
          <w:szCs w:val="32"/>
        </w:rPr>
        <w:t>创新为路径，</w:t>
      </w:r>
      <w:r>
        <w:rPr>
          <w:rFonts w:hint="eastAsia" w:ascii="仿宋" w:hAnsi="仿宋" w:eastAsia="仿宋" w:cstheme="minorBidi"/>
          <w:kern w:val="2"/>
          <w:sz w:val="32"/>
          <w:szCs w:val="32"/>
        </w:rPr>
        <w:t>推进规划、建设、管理、服务协同发展，不断创新管理机制和服务方式，充分发挥新理念</w:t>
      </w:r>
      <w:r>
        <w:rPr>
          <w:rFonts w:ascii="仿宋" w:hAnsi="仿宋" w:eastAsia="仿宋" w:cstheme="minorBidi"/>
          <w:kern w:val="2"/>
          <w:sz w:val="32"/>
          <w:szCs w:val="32"/>
        </w:rPr>
        <w:t>、</w:t>
      </w:r>
      <w:r>
        <w:rPr>
          <w:rFonts w:hint="eastAsia" w:ascii="仿宋" w:hAnsi="仿宋" w:eastAsia="仿宋" w:cstheme="minorBidi"/>
          <w:kern w:val="2"/>
          <w:sz w:val="32"/>
          <w:szCs w:val="32"/>
        </w:rPr>
        <w:t>新技术、</w:t>
      </w:r>
      <w:r>
        <w:rPr>
          <w:rFonts w:ascii="仿宋" w:hAnsi="仿宋" w:eastAsia="仿宋" w:cstheme="minorBidi"/>
          <w:kern w:val="2"/>
          <w:sz w:val="32"/>
          <w:szCs w:val="32"/>
        </w:rPr>
        <w:t>新装备</w:t>
      </w:r>
      <w:r>
        <w:rPr>
          <w:rFonts w:hint="eastAsia" w:ascii="仿宋" w:hAnsi="仿宋" w:eastAsia="仿宋" w:cstheme="minorBidi"/>
          <w:kern w:val="2"/>
          <w:sz w:val="32"/>
          <w:szCs w:val="32"/>
        </w:rPr>
        <w:t>等在城市公共交通领域的积极作用。</w:t>
      </w:r>
    </w:p>
    <w:p>
      <w:pPr>
        <w:overflowPunct w:val="0"/>
        <w:spacing w:line="560" w:lineRule="exact"/>
        <w:ind w:firstLine="642" w:firstLineChars="200"/>
        <w:rPr>
          <w:rFonts w:ascii="仿宋" w:hAnsi="仿宋" w:eastAsia="仿宋"/>
          <w:sz w:val="32"/>
          <w:szCs w:val="32"/>
        </w:rPr>
      </w:pPr>
      <w:r>
        <w:rPr>
          <w:rFonts w:hint="eastAsia" w:ascii="仿宋" w:hAnsi="仿宋" w:eastAsia="仿宋"/>
          <w:b/>
          <w:bCs/>
          <w:sz w:val="32"/>
          <w:szCs w:val="32"/>
        </w:rPr>
        <w:t>4.因地制宜，分类发展。</w:t>
      </w:r>
      <w:r>
        <w:rPr>
          <w:rFonts w:hint="eastAsia" w:ascii="仿宋" w:hAnsi="仿宋" w:eastAsia="仿宋"/>
          <w:sz w:val="32"/>
          <w:szCs w:val="32"/>
        </w:rPr>
        <w:t>根据城区规模、经济水平、地理环境、出行需求等因素，因地制宜构建城市公共交通发展模式，分类确定发展目标和发展任务。</w:t>
      </w:r>
    </w:p>
    <w:p>
      <w:pPr>
        <w:overflowPunct w:val="0"/>
        <w:spacing w:line="560" w:lineRule="exact"/>
        <w:ind w:firstLine="640" w:firstLineChars="200"/>
        <w:rPr>
          <w:rFonts w:ascii="楷体" w:hAnsi="楷体" w:eastAsia="楷体"/>
          <w:sz w:val="32"/>
          <w:szCs w:val="32"/>
        </w:rPr>
      </w:pPr>
      <w:r>
        <w:rPr>
          <w:rFonts w:hint="eastAsia" w:ascii="楷体" w:hAnsi="楷体" w:eastAsia="楷体"/>
          <w:sz w:val="32"/>
          <w:szCs w:val="32"/>
        </w:rPr>
        <w:t>（三）主要目标</w:t>
      </w:r>
    </w:p>
    <w:p>
      <w:pPr>
        <w:pStyle w:val="4"/>
        <w:widowControl/>
        <w:overflowPunct w:val="0"/>
        <w:spacing w:before="0" w:beforeAutospacing="0" w:after="0" w:afterAutospacing="0" w:line="560" w:lineRule="exact"/>
        <w:ind w:firstLine="640" w:firstLineChars="200"/>
        <w:jc w:val="both"/>
        <w:rPr>
          <w:rFonts w:ascii="仿宋" w:hAnsi="仿宋" w:eastAsia="仿宋" w:cstheme="minorBidi"/>
          <w:kern w:val="2"/>
          <w:sz w:val="32"/>
          <w:szCs w:val="32"/>
        </w:rPr>
      </w:pPr>
      <w:r>
        <w:rPr>
          <w:rFonts w:hint="eastAsia" w:ascii="仿宋" w:hAnsi="仿宋" w:eastAsia="仿宋" w:cstheme="minorBidi"/>
          <w:kern w:val="2"/>
          <w:sz w:val="32"/>
          <w:szCs w:val="32"/>
        </w:rPr>
        <w:t>到2025年，全市基本建成普惠均等、优质多元、智慧高效、绿色安全、健康持续的城市公共交通系统，公共交通乘客满意率不低于90%，绿色出行比例不低于</w:t>
      </w:r>
      <w:r>
        <w:rPr>
          <w:rFonts w:ascii="仿宋" w:hAnsi="仿宋" w:eastAsia="仿宋" w:cstheme="minorBidi"/>
          <w:kern w:val="2"/>
          <w:sz w:val="32"/>
          <w:szCs w:val="32"/>
        </w:rPr>
        <w:t>70</w:t>
      </w:r>
      <w:r>
        <w:rPr>
          <w:rFonts w:hint="eastAsia" w:ascii="仿宋" w:hAnsi="仿宋" w:eastAsia="仿宋" w:cstheme="minorBidi"/>
          <w:kern w:val="2"/>
          <w:sz w:val="32"/>
          <w:szCs w:val="32"/>
        </w:rPr>
        <w:t>%。中心城区公共交通站点500米覆盖率达到100%，多层次的城市公共交通服务网络更加完善，城乡公共交通服务差距不断缩小。新建城市居民区周边道路港湾式停靠站规划建设比例达到100%，已建成区域逐步实施港湾式停靠站改造，到2025年具备条件的改造比例要达到50%以上。城市公共汽电车进场率不低于9</w:t>
      </w:r>
      <w:r>
        <w:rPr>
          <w:rFonts w:ascii="仿宋" w:hAnsi="仿宋" w:eastAsia="仿宋" w:cstheme="minorBidi"/>
          <w:kern w:val="2"/>
          <w:sz w:val="32"/>
          <w:szCs w:val="32"/>
        </w:rPr>
        <w:t>5</w:t>
      </w:r>
      <w:r>
        <w:rPr>
          <w:rFonts w:hint="eastAsia" w:ascii="仿宋" w:hAnsi="仿宋" w:eastAsia="仿宋" w:cstheme="minorBidi"/>
          <w:kern w:val="2"/>
          <w:sz w:val="32"/>
          <w:szCs w:val="32"/>
        </w:rPr>
        <w:t>%。城市公共交通实行成本规制管理，100%建立补贴补偿机制和差别化城市公共交通价格体系。高峰时段城市公共汽电车平均运行时速不低于</w:t>
      </w:r>
      <w:r>
        <w:rPr>
          <w:rFonts w:ascii="仿宋" w:hAnsi="仿宋" w:eastAsia="仿宋" w:cstheme="minorBidi"/>
          <w:kern w:val="2"/>
          <w:sz w:val="32"/>
          <w:szCs w:val="32"/>
        </w:rPr>
        <w:t>18</w:t>
      </w:r>
      <w:r>
        <w:rPr>
          <w:rFonts w:hint="eastAsia" w:ascii="仿宋" w:hAnsi="仿宋" w:eastAsia="仿宋" w:cstheme="minorBidi"/>
          <w:kern w:val="2"/>
          <w:sz w:val="32"/>
          <w:szCs w:val="32"/>
        </w:rPr>
        <w:t>千米</w:t>
      </w:r>
      <w:r>
        <w:rPr>
          <w:rFonts w:ascii="仿宋" w:hAnsi="仿宋" w:eastAsia="仿宋" w:cstheme="minorBidi"/>
          <w:kern w:val="2"/>
          <w:sz w:val="32"/>
          <w:szCs w:val="32"/>
        </w:rPr>
        <w:t>/</w:t>
      </w:r>
      <w:r>
        <w:rPr>
          <w:rFonts w:hint="eastAsia" w:ascii="仿宋" w:hAnsi="仿宋" w:eastAsia="仿宋" w:cstheme="minorBidi"/>
          <w:kern w:val="2"/>
          <w:sz w:val="32"/>
          <w:szCs w:val="32"/>
        </w:rPr>
        <w:t>小时。</w:t>
      </w:r>
    </w:p>
    <w:p>
      <w:pPr>
        <w:pStyle w:val="4"/>
        <w:widowControl/>
        <w:overflowPunct w:val="0"/>
        <w:spacing w:before="0" w:beforeAutospacing="0" w:after="0" w:afterAutospacing="0" w:line="560" w:lineRule="exact"/>
        <w:ind w:firstLine="640" w:firstLineChars="200"/>
        <w:jc w:val="both"/>
        <w:rPr>
          <w:rFonts w:ascii="仿宋" w:hAnsi="仿宋" w:eastAsia="仿宋" w:cstheme="minorBidi"/>
          <w:kern w:val="2"/>
          <w:sz w:val="32"/>
          <w:szCs w:val="32"/>
        </w:rPr>
      </w:pPr>
      <w:r>
        <w:rPr>
          <w:rFonts w:hint="eastAsia" w:ascii="仿宋" w:hAnsi="仿宋" w:eastAsia="仿宋" w:cstheme="minorBidi"/>
          <w:kern w:val="2"/>
          <w:sz w:val="32"/>
          <w:szCs w:val="32"/>
        </w:rPr>
        <w:t>市区城市公共交通机动化出行分担率达到50%，万人城市公共汽电车保有量达到18标台；龙口、</w:t>
      </w:r>
      <w:r>
        <w:rPr>
          <w:rFonts w:ascii="仿宋" w:hAnsi="仿宋" w:eastAsia="仿宋" w:cstheme="minorBidi"/>
          <w:kern w:val="2"/>
          <w:sz w:val="32"/>
          <w:szCs w:val="32"/>
        </w:rPr>
        <w:t>招远、莱州、海阳、莱阳、栖霞城区</w:t>
      </w:r>
      <w:r>
        <w:rPr>
          <w:rFonts w:hint="eastAsia" w:ascii="仿宋" w:hAnsi="仿宋" w:eastAsia="仿宋" w:cstheme="minorBidi"/>
          <w:kern w:val="2"/>
          <w:sz w:val="32"/>
          <w:szCs w:val="32"/>
        </w:rPr>
        <w:t>城市公共交通机动化出行分担率达到35%，万人城市公共汽电车保有量达到12标台。</w:t>
      </w:r>
    </w:p>
    <w:p>
      <w:pPr>
        <w:overflowPunct w:val="0"/>
        <w:spacing w:line="560" w:lineRule="exact"/>
        <w:ind w:firstLine="640" w:firstLineChars="200"/>
        <w:rPr>
          <w:rFonts w:ascii="黑体" w:hAnsi="黑体" w:eastAsia="黑体"/>
          <w:sz w:val="32"/>
          <w:szCs w:val="32"/>
        </w:rPr>
      </w:pPr>
      <w:r>
        <w:rPr>
          <w:rFonts w:hint="eastAsia" w:ascii="黑体" w:hAnsi="黑体" w:eastAsia="黑体"/>
          <w:sz w:val="32"/>
          <w:szCs w:val="32"/>
        </w:rPr>
        <w:t>二、重点任务</w:t>
      </w:r>
    </w:p>
    <w:p>
      <w:pPr>
        <w:pStyle w:val="4"/>
        <w:widowControl/>
        <w:overflowPunct w:val="0"/>
        <w:spacing w:before="0" w:beforeAutospacing="0" w:after="0" w:afterAutospacing="0" w:line="560" w:lineRule="exact"/>
        <w:ind w:firstLine="640" w:firstLineChars="200"/>
        <w:jc w:val="both"/>
        <w:rPr>
          <w:rFonts w:ascii="楷体" w:hAnsi="楷体" w:eastAsia="楷体" w:cs="楷体_GB2312"/>
          <w:bCs/>
          <w:sz w:val="32"/>
          <w:szCs w:val="32"/>
        </w:rPr>
      </w:pPr>
      <w:r>
        <w:rPr>
          <w:rFonts w:hint="eastAsia" w:ascii="楷体" w:hAnsi="楷体" w:eastAsia="楷体" w:cs="楷体_GB2312"/>
          <w:bCs/>
          <w:sz w:val="32"/>
          <w:szCs w:val="32"/>
        </w:rPr>
        <w:t>（一）强化城市公共交通规划的编制和实施</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Cs/>
          <w:sz w:val="32"/>
          <w:szCs w:val="32"/>
        </w:rPr>
      </w:pPr>
      <w:r>
        <w:rPr>
          <w:rFonts w:hint="eastAsia" w:ascii="仿宋" w:hAnsi="仿宋" w:eastAsia="仿宋" w:cs="仿宋_GB2312"/>
          <w:b/>
          <w:sz w:val="32"/>
          <w:szCs w:val="32"/>
        </w:rPr>
        <w:t>1.规范规划编制。</w:t>
      </w:r>
      <w:r>
        <w:rPr>
          <w:rFonts w:hint="eastAsia" w:ascii="仿宋" w:hAnsi="仿宋" w:eastAsia="仿宋" w:cs="仿宋_GB2312"/>
          <w:bCs/>
          <w:sz w:val="32"/>
          <w:szCs w:val="32"/>
        </w:rPr>
        <w:t>市、</w:t>
      </w:r>
      <w:r>
        <w:rPr>
          <w:rFonts w:ascii="仿宋" w:hAnsi="仿宋" w:eastAsia="仿宋" w:cs="仿宋_GB2312"/>
          <w:bCs/>
          <w:sz w:val="32"/>
          <w:szCs w:val="32"/>
        </w:rPr>
        <w:t>县</w:t>
      </w:r>
      <w:r>
        <w:rPr>
          <w:rFonts w:hint="eastAsia" w:ascii="仿宋" w:hAnsi="仿宋" w:eastAsia="仿宋" w:cs="仿宋_GB2312"/>
          <w:bCs/>
          <w:sz w:val="32"/>
          <w:szCs w:val="32"/>
        </w:rPr>
        <w:t>级人民政府应当组织自然资源和规划</w:t>
      </w:r>
      <w:r>
        <w:rPr>
          <w:rFonts w:ascii="仿宋" w:hAnsi="仿宋" w:eastAsia="仿宋" w:cs="仿宋_GB2312"/>
          <w:bCs/>
          <w:sz w:val="32"/>
          <w:szCs w:val="32"/>
        </w:rPr>
        <w:t>、交通运输</w:t>
      </w:r>
      <w:r>
        <w:rPr>
          <w:rFonts w:hint="eastAsia" w:ascii="仿宋" w:hAnsi="仿宋" w:eastAsia="仿宋" w:cs="仿宋_GB2312"/>
          <w:bCs/>
          <w:sz w:val="32"/>
          <w:szCs w:val="32"/>
        </w:rPr>
        <w:t>、住房和</w:t>
      </w:r>
      <w:r>
        <w:rPr>
          <w:rFonts w:ascii="仿宋" w:hAnsi="仿宋" w:eastAsia="仿宋" w:cs="仿宋_GB2312"/>
          <w:bCs/>
          <w:sz w:val="32"/>
          <w:szCs w:val="32"/>
        </w:rPr>
        <w:t>城乡</w:t>
      </w:r>
      <w:r>
        <w:rPr>
          <w:rFonts w:hint="eastAsia" w:ascii="仿宋" w:hAnsi="仿宋" w:eastAsia="仿宋" w:cs="仿宋_GB2312"/>
          <w:bCs/>
          <w:sz w:val="32"/>
          <w:szCs w:val="32"/>
        </w:rPr>
        <w:t>建设</w:t>
      </w:r>
      <w:r>
        <w:rPr>
          <w:rFonts w:ascii="仿宋" w:hAnsi="仿宋" w:eastAsia="仿宋" w:cs="仿宋_GB2312"/>
          <w:bCs/>
          <w:sz w:val="32"/>
          <w:szCs w:val="32"/>
        </w:rPr>
        <w:t>等</w:t>
      </w:r>
      <w:r>
        <w:rPr>
          <w:rFonts w:hint="eastAsia" w:ascii="仿宋" w:hAnsi="仿宋" w:eastAsia="仿宋" w:cs="仿宋_GB2312"/>
          <w:bCs/>
          <w:sz w:val="32"/>
          <w:szCs w:val="32"/>
        </w:rPr>
        <w:t>相关部门在充分调研基础上，强化公共交通支撑引导城市发展的理念，按照科学合理、优先发展、适度超前的原则，编制城市综合交通体系规划和公共交通规划，作为空间类专项规划，纳入国土空间规划体系。</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Cs/>
          <w:sz w:val="32"/>
          <w:szCs w:val="32"/>
        </w:rPr>
      </w:pPr>
      <w:r>
        <w:rPr>
          <w:rFonts w:hint="eastAsia" w:ascii="仿宋" w:hAnsi="仿宋" w:eastAsia="仿宋" w:cs="仿宋_GB2312"/>
          <w:b/>
          <w:sz w:val="32"/>
          <w:szCs w:val="32"/>
        </w:rPr>
        <w:t>2.严格落实规划。</w:t>
      </w:r>
      <w:r>
        <w:rPr>
          <w:rFonts w:hint="eastAsia" w:ascii="仿宋" w:hAnsi="仿宋" w:eastAsia="仿宋" w:cs="仿宋_GB2312"/>
          <w:bCs/>
          <w:sz w:val="32"/>
          <w:szCs w:val="32"/>
        </w:rPr>
        <w:t>城市公共交通规划由城市人民政府批准并组织实施，定期对规划实施过程进行监督检查，严禁擅自变更规划，确保规划执行到位；确需变更</w:t>
      </w:r>
      <w:r>
        <w:rPr>
          <w:rFonts w:ascii="仿宋" w:hAnsi="仿宋" w:eastAsia="仿宋" w:cs="仿宋_GB2312"/>
          <w:bCs/>
          <w:sz w:val="32"/>
          <w:szCs w:val="32"/>
        </w:rPr>
        <w:t>的，</w:t>
      </w:r>
      <w:r>
        <w:rPr>
          <w:rFonts w:hint="eastAsia" w:ascii="仿宋" w:hAnsi="仿宋" w:eastAsia="仿宋"/>
          <w:bCs/>
          <w:sz w:val="32"/>
          <w:szCs w:val="32"/>
        </w:rPr>
        <w:t>应当按照原编制和批准程序办理。</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Cs/>
          <w:sz w:val="32"/>
          <w:szCs w:val="32"/>
        </w:rPr>
      </w:pPr>
      <w:r>
        <w:rPr>
          <w:rFonts w:hint="eastAsia" w:ascii="仿宋" w:hAnsi="仿宋" w:eastAsia="仿宋" w:cs="仿宋_GB2312"/>
          <w:b/>
          <w:sz w:val="32"/>
          <w:szCs w:val="32"/>
        </w:rPr>
        <w:t>3.加强规划衔接。</w:t>
      </w:r>
      <w:r>
        <w:rPr>
          <w:rFonts w:hint="eastAsia" w:ascii="仿宋" w:hAnsi="仿宋" w:eastAsia="仿宋" w:cs="仿宋_GB2312"/>
          <w:bCs/>
          <w:sz w:val="32"/>
          <w:szCs w:val="32"/>
        </w:rPr>
        <w:t>加强城市公共交通规划与国民经济和社会发展规划、国土空间总体规划、城市综合交通规划等有效衔接，将规划成果纳入详细规划中，切实提升规划的衔接和融合。规划布局综合立体交通枢纽，建立现代城市换乘系统，优化公共交通功能结构，促进城市内外交通便利衔接和城乡公共交通一体化发展，加强与个体机动化交通以及步行、自行车出行的协调，推动城市绿色出行，引领低碳交通发展。</w:t>
      </w:r>
    </w:p>
    <w:p>
      <w:pPr>
        <w:overflowPunct w:val="0"/>
        <w:spacing w:line="560" w:lineRule="exact"/>
        <w:ind w:firstLine="640" w:firstLineChars="200"/>
        <w:rPr>
          <w:rFonts w:ascii="楷体" w:hAnsi="楷体" w:eastAsia="楷体"/>
          <w:sz w:val="32"/>
          <w:szCs w:val="32"/>
        </w:rPr>
      </w:pPr>
      <w:r>
        <w:rPr>
          <w:rFonts w:hint="eastAsia" w:ascii="楷体" w:hAnsi="楷体" w:eastAsia="楷体"/>
          <w:sz w:val="32"/>
          <w:szCs w:val="32"/>
        </w:rPr>
        <w:t>（二）完善城市公共交通基础设施</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Cs/>
          <w:sz w:val="32"/>
          <w:szCs w:val="32"/>
        </w:rPr>
      </w:pPr>
      <w:r>
        <w:rPr>
          <w:rFonts w:hint="eastAsia" w:ascii="仿宋" w:hAnsi="仿宋" w:eastAsia="仿宋" w:cs="仿宋_GB2312"/>
          <w:b/>
          <w:sz w:val="32"/>
          <w:szCs w:val="32"/>
        </w:rPr>
        <w:t>1.落实城市公共交通配套基础设施建设。</w:t>
      </w:r>
      <w:r>
        <w:rPr>
          <w:rFonts w:hint="eastAsia" w:ascii="仿宋" w:hAnsi="仿宋" w:eastAsia="仿宋" w:cs="仿宋_GB2312"/>
          <w:bCs/>
          <w:sz w:val="32"/>
          <w:szCs w:val="32"/>
        </w:rPr>
        <w:t>公共交通基础设施是保障城市公共交通系统发挥整体效能的重要支撑。市、县级人民政府要严格落实《烟台市大型建筑公交场站配建导则》等标准规范，把公共交通规划确定的公交基础设施</w:t>
      </w:r>
      <w:r>
        <w:rPr>
          <w:rFonts w:ascii="仿宋" w:hAnsi="仿宋" w:eastAsia="仿宋" w:cs="仿宋_GB2312"/>
          <w:bCs/>
          <w:sz w:val="32"/>
          <w:szCs w:val="32"/>
        </w:rPr>
        <w:t>用地（</w:t>
      </w:r>
      <w:r>
        <w:rPr>
          <w:rFonts w:hint="eastAsia" w:ascii="仿宋" w:hAnsi="仿宋" w:eastAsia="仿宋" w:cs="仿宋_GB2312"/>
          <w:bCs/>
          <w:sz w:val="32"/>
          <w:szCs w:val="32"/>
        </w:rPr>
        <w:t>含保养场、首末站、中途站、调度中心、港湾式停靠站、公共停车场等</w:t>
      </w:r>
      <w:r>
        <w:rPr>
          <w:rFonts w:ascii="仿宋" w:hAnsi="仿宋" w:eastAsia="仿宋" w:cs="仿宋_GB2312"/>
          <w:bCs/>
          <w:sz w:val="32"/>
          <w:szCs w:val="32"/>
        </w:rPr>
        <w:t>）</w:t>
      </w:r>
      <w:r>
        <w:rPr>
          <w:rFonts w:hint="eastAsia" w:ascii="仿宋" w:hAnsi="仿宋" w:eastAsia="仿宋" w:cs="仿宋_GB2312"/>
          <w:bCs/>
          <w:sz w:val="32"/>
          <w:szCs w:val="32"/>
        </w:rPr>
        <w:t>纳入城市更新、道路新建改造、保障性住房、大型商业区、规模社区、城市公共活动场所、高校园区等大型城市建设项目大盘，实行同步规划</w:t>
      </w:r>
      <w:r>
        <w:rPr>
          <w:rFonts w:ascii="仿宋" w:hAnsi="仿宋" w:eastAsia="仿宋" w:cs="仿宋_GB2312"/>
          <w:bCs/>
          <w:sz w:val="32"/>
          <w:szCs w:val="32"/>
        </w:rPr>
        <w:t>、</w:t>
      </w:r>
      <w:r>
        <w:rPr>
          <w:rFonts w:hint="eastAsia" w:ascii="仿宋" w:hAnsi="仿宋" w:eastAsia="仿宋" w:cs="仿宋_GB2312"/>
          <w:bCs/>
          <w:sz w:val="32"/>
          <w:szCs w:val="32"/>
        </w:rPr>
        <w:t>同步设计、同步建设、同步验收、同步交付使用。对未按规定要求配套建设公共交通设施的项目一律不予审批、验收。</w:t>
      </w:r>
    </w:p>
    <w:p>
      <w:pPr>
        <w:pStyle w:val="4"/>
        <w:widowControl/>
        <w:overflowPunct w:val="0"/>
        <w:spacing w:before="0" w:beforeAutospacing="0" w:after="0" w:afterAutospacing="0" w:line="560" w:lineRule="exact"/>
        <w:ind w:firstLine="642" w:firstLineChars="200"/>
        <w:jc w:val="both"/>
        <w:rPr>
          <w:rFonts w:ascii="仿宋" w:hAnsi="仿宋" w:eastAsia="仿宋" w:cs="仿宋_GB2312"/>
          <w:sz w:val="32"/>
          <w:szCs w:val="32"/>
        </w:rPr>
      </w:pPr>
      <w:r>
        <w:rPr>
          <w:rFonts w:hint="eastAsia" w:ascii="仿宋" w:hAnsi="仿宋" w:eastAsia="仿宋" w:cs="仿宋_GB2312"/>
          <w:b/>
          <w:sz w:val="32"/>
          <w:szCs w:val="32"/>
        </w:rPr>
        <w:t>2.提升公交中途停靠站及配套设施建设水平。</w:t>
      </w:r>
      <w:r>
        <w:rPr>
          <w:rFonts w:hint="eastAsia" w:ascii="仿宋" w:hAnsi="仿宋" w:eastAsia="仿宋" w:cs="仿宋_GB2312"/>
          <w:sz w:val="32"/>
          <w:szCs w:val="32"/>
        </w:rPr>
        <w:t>公交中途停靠站及配套设施建设应当遵循设计规范、美观牢固、电子智能、能湾则湾及符合沿海城市特点的原则，实行统一规划、统一标准、统一样式、统一智能；依法依规简化建设审批许可</w:t>
      </w:r>
      <w:r>
        <w:rPr>
          <w:rFonts w:ascii="仿宋" w:hAnsi="仿宋" w:eastAsia="仿宋" w:cs="仿宋_GB2312"/>
          <w:sz w:val="32"/>
          <w:szCs w:val="32"/>
        </w:rPr>
        <w:t>流程，</w:t>
      </w:r>
      <w:r>
        <w:rPr>
          <w:rFonts w:hint="eastAsia" w:ascii="仿宋" w:hAnsi="仿宋" w:eastAsia="仿宋" w:cs="仿宋_GB2312"/>
          <w:sz w:val="32"/>
          <w:szCs w:val="32"/>
        </w:rPr>
        <w:t>减免相关许可手续。</w:t>
      </w:r>
    </w:p>
    <w:p>
      <w:pPr>
        <w:overflowPunct w:val="0"/>
        <w:spacing w:line="560" w:lineRule="exact"/>
        <w:ind w:firstLine="642" w:firstLineChars="200"/>
        <w:rPr>
          <w:rFonts w:ascii="仿宋" w:hAnsi="仿宋" w:eastAsia="仿宋"/>
          <w:b/>
          <w:sz w:val="32"/>
          <w:szCs w:val="32"/>
        </w:rPr>
      </w:pPr>
      <w:r>
        <w:rPr>
          <w:rFonts w:ascii="仿宋" w:hAnsi="仿宋" w:eastAsia="仿宋" w:cs="仿宋_GB2312"/>
          <w:b/>
          <w:kern w:val="0"/>
          <w:sz w:val="32"/>
          <w:szCs w:val="32"/>
        </w:rPr>
        <w:t>3</w:t>
      </w:r>
      <w:r>
        <w:rPr>
          <w:rFonts w:hint="eastAsia" w:ascii="仿宋" w:hAnsi="仿宋" w:eastAsia="仿宋" w:cs="仿宋_GB2312"/>
          <w:b/>
          <w:kern w:val="0"/>
          <w:sz w:val="32"/>
          <w:szCs w:val="32"/>
        </w:rPr>
        <w:t>.加强城市公共交通设施用地保障。</w:t>
      </w:r>
      <w:r>
        <w:rPr>
          <w:rFonts w:hint="eastAsia" w:ascii="仿宋" w:hAnsi="仿宋" w:eastAsia="仿宋"/>
          <w:sz w:val="32"/>
          <w:szCs w:val="32"/>
        </w:rPr>
        <w:t>市、县级人民政府在组织编制实施国土空间规划时，应合理确定城市公共交通基础设施的用地规模和布局，</w:t>
      </w:r>
      <w:r>
        <w:rPr>
          <w:rFonts w:hint="eastAsia" w:ascii="仿宋" w:hAnsi="仿宋" w:eastAsia="仿宋" w:cs="仿宋_GB2312"/>
          <w:bCs/>
          <w:kern w:val="0"/>
          <w:sz w:val="32"/>
          <w:szCs w:val="32"/>
        </w:rPr>
        <w:t>对于规划确定的公共交通基础设施用地，不得随意修改和变更与城市公共交通相关内容</w:t>
      </w:r>
      <w:r>
        <w:rPr>
          <w:rFonts w:hint="eastAsia" w:ascii="仿宋" w:hAnsi="仿宋" w:eastAsia="仿宋"/>
          <w:sz w:val="32"/>
          <w:szCs w:val="32"/>
        </w:rPr>
        <w:t>。对于符合《划拨用地目录》规定的，可采取划拨方式供地；不符合的，应依法以有偿方式供地。</w:t>
      </w:r>
      <w:r>
        <w:rPr>
          <w:rFonts w:hint="eastAsia" w:ascii="仿宋" w:hAnsi="仿宋" w:eastAsia="仿宋" w:cs="仿宋_GB2312"/>
          <w:bCs/>
          <w:kern w:val="0"/>
          <w:sz w:val="32"/>
          <w:szCs w:val="32"/>
        </w:rPr>
        <w:t>研究支持利用城区立交、快速路高架桥下等空间优先满足城市公共交通停车需求。</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
          <w:sz w:val="32"/>
          <w:szCs w:val="32"/>
        </w:rPr>
      </w:pPr>
      <w:r>
        <w:rPr>
          <w:rFonts w:ascii="仿宋" w:hAnsi="仿宋" w:eastAsia="仿宋" w:cs="仿宋_GB2312"/>
          <w:b/>
          <w:sz w:val="32"/>
          <w:szCs w:val="32"/>
        </w:rPr>
        <w:t>4</w:t>
      </w:r>
      <w:r>
        <w:rPr>
          <w:rFonts w:hint="eastAsia" w:ascii="仿宋" w:hAnsi="仿宋" w:eastAsia="仿宋" w:cs="仿宋_GB2312"/>
          <w:b/>
          <w:sz w:val="32"/>
          <w:szCs w:val="32"/>
        </w:rPr>
        <w:t>.推进城市公共交通设施用地综合开发。</w:t>
      </w:r>
      <w:r>
        <w:rPr>
          <w:rFonts w:hint="eastAsia" w:ascii="仿宋" w:hAnsi="仿宋" w:eastAsia="仿宋" w:cs="仿宋_GB2312"/>
          <w:sz w:val="32"/>
          <w:szCs w:val="32"/>
        </w:rPr>
        <w:t>鼓励以TOD为导向的可持续发展模式。按照节约用地原则，改变公共交通场站功能单一、平面布局的现状，发挥场站客流集疏运特点，结合城市更新、老旧小区改造等，推进城市公共交通设施用地综合开发，提高公交场站公共服务功能和城市更新活力。对新建城市公共交通设施用地的地上、地下空间，支持市场化原则实施土地综合开发；对现有城市公共交通设施用地，支持在符合规划且不改变用途的前提下进行综合开发；研究制定公共交通场站用地综合开发程序、办法，解决实际操作中涉及的土地性质变更、用地出让条件设定、招拍挂程序、土地容积率等具体问题。鼓励社会资本依法依规参与城市公共交通场站综合开发。</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
          <w:sz w:val="32"/>
          <w:szCs w:val="32"/>
        </w:rPr>
      </w:pPr>
      <w:r>
        <w:rPr>
          <w:rFonts w:ascii="仿宋" w:hAnsi="仿宋" w:eastAsia="仿宋" w:cs="仿宋_GB2312"/>
          <w:b/>
          <w:sz w:val="32"/>
          <w:szCs w:val="32"/>
        </w:rPr>
        <w:t>5</w:t>
      </w:r>
      <w:r>
        <w:rPr>
          <w:rFonts w:hint="eastAsia" w:ascii="仿宋" w:hAnsi="仿宋" w:eastAsia="仿宋" w:cs="仿宋_GB2312"/>
          <w:b/>
          <w:sz w:val="32"/>
          <w:szCs w:val="32"/>
        </w:rPr>
        <w:t>.持续推进新能源公交车应用与配套设施建设。</w:t>
      </w:r>
      <w:r>
        <w:rPr>
          <w:rFonts w:hint="eastAsia" w:ascii="仿宋" w:hAnsi="仿宋" w:eastAsia="仿宋" w:cs="仿宋_GB2312"/>
          <w:bCs/>
          <w:sz w:val="32"/>
          <w:szCs w:val="32"/>
        </w:rPr>
        <w:t>除保留必要应急救援车辆外，新增和更新城市公共汽电车全部为新能源车辆。优化车型结构，适当增加小微型新能源公交车型，打通城市出行“最后一公里”。优先布局和建设城市公共交通充（换）电站、充电桩等设施，支持公交企业利用现有场地和设施，加快推进充电设施项目建设，形成适度超前、布局合理的充电设施服务体系；加强对退役动力蓄电池的回收和处置管理。积极创造</w:t>
      </w:r>
      <w:r>
        <w:rPr>
          <w:rFonts w:ascii="仿宋" w:hAnsi="仿宋" w:eastAsia="仿宋" w:cs="仿宋_GB2312"/>
          <w:bCs/>
          <w:sz w:val="32"/>
          <w:szCs w:val="32"/>
        </w:rPr>
        <w:t>条件</w:t>
      </w:r>
      <w:r>
        <w:rPr>
          <w:rFonts w:hint="eastAsia" w:ascii="仿宋" w:hAnsi="仿宋" w:eastAsia="仿宋" w:cs="仿宋_GB2312"/>
          <w:bCs/>
          <w:sz w:val="32"/>
          <w:szCs w:val="32"/>
        </w:rPr>
        <w:t>推广氢燃料电池公交车应用，加快加氢站设施建设。</w:t>
      </w:r>
    </w:p>
    <w:p>
      <w:pPr>
        <w:pStyle w:val="4"/>
        <w:widowControl/>
        <w:overflowPunct w:val="0"/>
        <w:spacing w:before="0" w:beforeAutospacing="0" w:after="0" w:afterAutospacing="0" w:line="560" w:lineRule="exact"/>
        <w:ind w:firstLine="640" w:firstLineChars="200"/>
        <w:jc w:val="both"/>
        <w:rPr>
          <w:rFonts w:ascii="楷体" w:hAnsi="楷体" w:eastAsia="楷体" w:cs="楷体_GB2312"/>
          <w:bCs/>
          <w:sz w:val="32"/>
          <w:szCs w:val="32"/>
        </w:rPr>
      </w:pPr>
      <w:r>
        <w:rPr>
          <w:rFonts w:hint="eastAsia" w:ascii="楷体" w:hAnsi="楷体" w:eastAsia="楷体" w:cs="楷体_GB2312"/>
          <w:bCs/>
          <w:sz w:val="32"/>
          <w:szCs w:val="32"/>
        </w:rPr>
        <w:t>（三）加大城市公共交通财政投入</w:t>
      </w:r>
    </w:p>
    <w:p>
      <w:pPr>
        <w:pStyle w:val="4"/>
        <w:widowControl/>
        <w:overflowPunct w:val="0"/>
        <w:spacing w:before="0" w:beforeAutospacing="0" w:after="0" w:afterAutospacing="0" w:line="560" w:lineRule="exact"/>
        <w:ind w:firstLine="642" w:firstLineChars="200"/>
        <w:jc w:val="both"/>
        <w:rPr>
          <w:rFonts w:ascii="楷体" w:hAnsi="楷体" w:eastAsia="楷体" w:cs="楷体_GB2312"/>
          <w:bCs/>
          <w:sz w:val="32"/>
          <w:szCs w:val="32"/>
        </w:rPr>
      </w:pPr>
      <w:r>
        <w:rPr>
          <w:rFonts w:hint="eastAsia" w:ascii="仿宋" w:hAnsi="仿宋" w:eastAsia="仿宋" w:cs="仿宋_GB2312"/>
          <w:b/>
          <w:sz w:val="32"/>
          <w:szCs w:val="32"/>
        </w:rPr>
        <w:t>1.健全城市公共交通精准财政补贴机制。</w:t>
      </w:r>
      <w:r>
        <w:rPr>
          <w:rFonts w:hint="eastAsia" w:ascii="仿宋" w:hAnsi="仿宋" w:eastAsia="仿宋" w:cs="仿宋_GB2312"/>
          <w:bCs/>
          <w:sz w:val="32"/>
          <w:szCs w:val="32"/>
        </w:rPr>
        <w:t>各区市人民政府要将城市公共交通发展资金纳入本级财政预算体系，规范成本规制和财政补贴机制；建立健全可量化的城市公共交通成本核算及绩效评价体系，提升管理决策的科学性和财政补贴合理性。对实行低票价、减免票、承担政府指令性任务等形成的政策性亏损，对企业在技术改造、节能减排、经营冷僻线路等方面的投入，当地财政要给予适当补贴补偿。</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
          <w:sz w:val="32"/>
          <w:szCs w:val="32"/>
        </w:rPr>
      </w:pPr>
      <w:r>
        <w:rPr>
          <w:rFonts w:hint="eastAsia" w:ascii="仿宋" w:hAnsi="仿宋" w:eastAsia="仿宋" w:cs="仿宋_GB2312"/>
          <w:b/>
          <w:sz w:val="32"/>
          <w:szCs w:val="32"/>
        </w:rPr>
        <w:t>2.完善城市公共交通发展保障机制。</w:t>
      </w:r>
      <w:r>
        <w:rPr>
          <w:rFonts w:hint="eastAsia" w:ascii="仿宋" w:hAnsi="仿宋" w:eastAsia="仿宋" w:cs="仿宋_GB2312"/>
          <w:bCs/>
          <w:sz w:val="32"/>
          <w:szCs w:val="32"/>
        </w:rPr>
        <w:t>统筹城市维护建设税、城市基础设施建设配套费、土地出让金收益用于城市公共交通基础设施建设。政府财政投入的资金应重点用于公共交通规划确定的大容量公共交通、综合交通枢纽、公交场站、公交停车站等设施的建设，以及车辆的更新和设施维护，</w:t>
      </w:r>
      <w:r>
        <w:rPr>
          <w:rFonts w:ascii="仿宋" w:hAnsi="仿宋" w:eastAsia="仿宋" w:cs="仿宋_GB2312"/>
          <w:bCs/>
          <w:sz w:val="32"/>
          <w:szCs w:val="32"/>
        </w:rPr>
        <w:t>加大城市公交信息化建设的资金保障力度</w:t>
      </w:r>
      <w:r>
        <w:rPr>
          <w:rFonts w:hint="eastAsia" w:ascii="仿宋" w:hAnsi="仿宋" w:eastAsia="仿宋" w:cs="仿宋_GB2312"/>
          <w:bCs/>
          <w:sz w:val="32"/>
          <w:szCs w:val="32"/>
        </w:rPr>
        <w:t>。</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
          <w:sz w:val="32"/>
          <w:szCs w:val="32"/>
        </w:rPr>
      </w:pPr>
      <w:r>
        <w:rPr>
          <w:rFonts w:hint="eastAsia" w:ascii="仿宋" w:hAnsi="仿宋" w:eastAsia="仿宋" w:cs="仿宋_GB2312"/>
          <w:b/>
          <w:sz w:val="32"/>
          <w:szCs w:val="32"/>
        </w:rPr>
        <w:t>3.落实国家关于城市公共交通有关税费优惠政策。</w:t>
      </w:r>
      <w:r>
        <w:rPr>
          <w:rFonts w:hint="eastAsia" w:ascii="仿宋" w:hAnsi="仿宋" w:eastAsia="仿宋" w:cs="仿宋_GB2312"/>
          <w:bCs/>
          <w:sz w:val="32"/>
          <w:szCs w:val="32"/>
        </w:rPr>
        <w:t>按规定对城市公交企业购置的公共汽电车辆免征车辆购置税；依法免征城市公共交通车辆车船税；按照国家规定免征城市公共交通公交场站城镇土地使用税，对城市公共交通基础设施按规定免征城市基础设施配套费、城市道路占用挖掘费、城市绿化补偿费（开口费）、市政雨污水接驳费等。城市公交企业取得的政府购买服务费用等财政补贴收入，符合条件的不予征收增值税。鼓励企事业单位、社会团体和个人以慈善形式支持公交发展，对于以捐赠形式参与城市公共交通多元化发展的社会资金，依法依规给予适当的税收优惠。</w:t>
      </w:r>
    </w:p>
    <w:p>
      <w:pPr>
        <w:pStyle w:val="4"/>
        <w:widowControl/>
        <w:overflowPunct w:val="0"/>
        <w:spacing w:before="0" w:beforeAutospacing="0" w:after="0" w:afterAutospacing="0" w:line="560" w:lineRule="exact"/>
        <w:ind w:firstLine="640" w:firstLineChars="200"/>
        <w:jc w:val="both"/>
        <w:rPr>
          <w:rFonts w:ascii="楷体" w:hAnsi="楷体" w:eastAsia="楷体" w:cs="仿宋_GB2312"/>
          <w:bCs/>
          <w:sz w:val="32"/>
          <w:szCs w:val="32"/>
        </w:rPr>
      </w:pPr>
      <w:r>
        <w:rPr>
          <w:rFonts w:hint="eastAsia" w:ascii="楷体" w:hAnsi="楷体" w:eastAsia="楷体" w:cs="楷体_GB2312"/>
          <w:bCs/>
          <w:sz w:val="32"/>
          <w:szCs w:val="32"/>
        </w:rPr>
        <w:t>（四）切实保障城市公共交通路权优先</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Cs/>
          <w:sz w:val="32"/>
          <w:szCs w:val="32"/>
        </w:rPr>
      </w:pPr>
      <w:r>
        <w:rPr>
          <w:rFonts w:hint="eastAsia" w:ascii="仿宋" w:hAnsi="仿宋" w:eastAsia="仿宋" w:cs="仿宋_GB2312"/>
          <w:b/>
          <w:sz w:val="32"/>
          <w:szCs w:val="32"/>
        </w:rPr>
        <w:t>1.加快公交专用道建设。</w:t>
      </w:r>
      <w:r>
        <w:rPr>
          <w:rFonts w:hint="eastAsia" w:ascii="仿宋" w:hAnsi="仿宋" w:eastAsia="仿宋" w:cs="仿宋_GB2312"/>
          <w:bCs/>
          <w:sz w:val="32"/>
          <w:szCs w:val="32"/>
        </w:rPr>
        <w:t>进一步落实城市公共交通路权优先，科学设置公共交通优先车道、专用车道、路口专用线、单向优先专用线等，调整公共交通车辆与其他社会车辆的路权使用分配关系，提高公共交通车辆运营速度和道路资源利用率。现有单向3车道及以上的城市道路、有条件的主干道，以及新、改建符合条件的城市道路要建设公共交通专用（优先）道及相关设施设备，实现城区公共交通专用（优先）道连片、成网，切实提高公共交通运营效率。</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
          <w:sz w:val="32"/>
          <w:szCs w:val="32"/>
        </w:rPr>
      </w:pPr>
      <w:r>
        <w:rPr>
          <w:rFonts w:hint="eastAsia" w:ascii="仿宋" w:hAnsi="仿宋" w:eastAsia="仿宋" w:cs="仿宋_GB2312"/>
          <w:b/>
          <w:sz w:val="32"/>
          <w:szCs w:val="32"/>
        </w:rPr>
        <w:t>2.严格公交专用道使用监管。</w:t>
      </w:r>
      <w:r>
        <w:rPr>
          <w:rFonts w:hint="eastAsia" w:ascii="仿宋" w:hAnsi="仿宋" w:eastAsia="仿宋" w:cs="仿宋_GB2312"/>
          <w:bCs/>
          <w:sz w:val="32"/>
          <w:szCs w:val="32"/>
        </w:rPr>
        <w:t>充分利用监控设备等信息化手段，加强对公交专用道的监控，严格查处不按规定使用公交专用道、占道停车等交通违法行为，保障公交车辆通行安全和通行效率。</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
          <w:sz w:val="32"/>
          <w:szCs w:val="32"/>
        </w:rPr>
      </w:pPr>
      <w:r>
        <w:rPr>
          <w:rFonts w:hint="eastAsia" w:ascii="仿宋" w:hAnsi="仿宋" w:eastAsia="仿宋" w:cs="仿宋_GB2312"/>
          <w:b/>
          <w:sz w:val="32"/>
          <w:szCs w:val="32"/>
        </w:rPr>
        <w:t>3.科学设置公交优先通行信号系统。</w:t>
      </w:r>
      <w:r>
        <w:rPr>
          <w:rFonts w:hint="eastAsia" w:ascii="仿宋" w:hAnsi="仿宋" w:eastAsia="仿宋" w:cs="仿宋_GB2312"/>
          <w:bCs/>
          <w:sz w:val="32"/>
          <w:szCs w:val="32"/>
        </w:rPr>
        <w:t>大力推进公交信号优先，逐步扩大公交信号优先范围，保证公交车辆通行优先权，逐步形成公交车辆优先通行网络，切实提高公交车辆通行速度和准点率。</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Cs/>
          <w:sz w:val="32"/>
          <w:szCs w:val="32"/>
        </w:rPr>
      </w:pPr>
      <w:r>
        <w:rPr>
          <w:rFonts w:hint="eastAsia" w:ascii="仿宋" w:hAnsi="仿宋" w:eastAsia="仿宋" w:cs="仿宋_GB2312"/>
          <w:b/>
          <w:sz w:val="32"/>
          <w:szCs w:val="32"/>
        </w:rPr>
        <w:t>4.加强公共交通运营环境治理。</w:t>
      </w:r>
      <w:r>
        <w:rPr>
          <w:rFonts w:hint="eastAsia" w:ascii="仿宋" w:hAnsi="仿宋" w:eastAsia="仿宋" w:cs="仿宋_GB2312"/>
          <w:bCs/>
          <w:sz w:val="32"/>
          <w:szCs w:val="32"/>
        </w:rPr>
        <w:t>加强对公共交通站点前后30米区域内的停车管理，依法查处社会车辆占用中途停靠站，妨碍公共交通车辆正常通行的违法行为；加大对破坏公共交通基础设施、非法营运、危害公共交通安全等行为的惩治</w:t>
      </w:r>
      <w:r>
        <w:rPr>
          <w:rFonts w:ascii="仿宋" w:hAnsi="仿宋" w:eastAsia="仿宋" w:cs="仿宋_GB2312"/>
          <w:bCs/>
          <w:sz w:val="32"/>
          <w:szCs w:val="32"/>
        </w:rPr>
        <w:t>力度</w:t>
      </w:r>
      <w:r>
        <w:rPr>
          <w:rFonts w:hint="eastAsia" w:ascii="仿宋" w:hAnsi="仿宋" w:eastAsia="仿宋" w:cs="仿宋_GB2312"/>
          <w:bCs/>
          <w:sz w:val="32"/>
          <w:szCs w:val="32"/>
        </w:rPr>
        <w:t>；及时消除道路</w:t>
      </w:r>
      <w:r>
        <w:rPr>
          <w:rFonts w:ascii="仿宋" w:hAnsi="仿宋" w:eastAsia="仿宋" w:cs="仿宋_GB2312"/>
          <w:bCs/>
          <w:sz w:val="32"/>
          <w:szCs w:val="32"/>
        </w:rPr>
        <w:t>旁树木遮挡行车</w:t>
      </w:r>
      <w:r>
        <w:rPr>
          <w:rFonts w:hint="eastAsia" w:ascii="仿宋" w:hAnsi="仿宋" w:eastAsia="仿宋" w:cs="仿宋_GB2312"/>
          <w:bCs/>
          <w:sz w:val="32"/>
          <w:szCs w:val="32"/>
        </w:rPr>
        <w:t>视线</w:t>
      </w:r>
      <w:r>
        <w:rPr>
          <w:rFonts w:ascii="仿宋" w:hAnsi="仿宋" w:eastAsia="仿宋" w:cs="仿宋_GB2312"/>
          <w:bCs/>
          <w:sz w:val="32"/>
          <w:szCs w:val="32"/>
        </w:rPr>
        <w:t>、</w:t>
      </w:r>
      <w:r>
        <w:rPr>
          <w:rFonts w:hint="eastAsia" w:ascii="仿宋" w:hAnsi="仿宋" w:eastAsia="仿宋" w:cs="仿宋_GB2312"/>
          <w:bCs/>
          <w:sz w:val="32"/>
          <w:szCs w:val="32"/>
        </w:rPr>
        <w:t>站点</w:t>
      </w:r>
      <w:r>
        <w:rPr>
          <w:rFonts w:ascii="仿宋" w:hAnsi="仿宋" w:eastAsia="仿宋" w:cs="仿宋_GB2312"/>
          <w:bCs/>
          <w:sz w:val="32"/>
          <w:szCs w:val="32"/>
        </w:rPr>
        <w:t>范围内</w:t>
      </w:r>
      <w:r>
        <w:rPr>
          <w:rFonts w:hint="eastAsia" w:ascii="仿宋" w:hAnsi="仿宋" w:eastAsia="仿宋" w:cs="仿宋_GB2312"/>
          <w:bCs/>
          <w:sz w:val="32"/>
          <w:szCs w:val="32"/>
        </w:rPr>
        <w:t>不按规定</w:t>
      </w:r>
      <w:r>
        <w:rPr>
          <w:rFonts w:ascii="仿宋" w:hAnsi="仿宋" w:eastAsia="仿宋" w:cs="仿宋_GB2312"/>
          <w:bCs/>
          <w:sz w:val="32"/>
          <w:szCs w:val="32"/>
        </w:rPr>
        <w:t>施工</w:t>
      </w:r>
      <w:r>
        <w:rPr>
          <w:rFonts w:hint="eastAsia" w:ascii="仿宋" w:hAnsi="仿宋" w:eastAsia="仿宋" w:cs="仿宋_GB2312"/>
          <w:bCs/>
          <w:sz w:val="32"/>
          <w:szCs w:val="32"/>
        </w:rPr>
        <w:t>开挖</w:t>
      </w:r>
      <w:r>
        <w:rPr>
          <w:rFonts w:ascii="仿宋" w:hAnsi="仿宋" w:eastAsia="仿宋" w:cs="仿宋_GB2312"/>
          <w:bCs/>
          <w:sz w:val="32"/>
          <w:szCs w:val="32"/>
        </w:rPr>
        <w:t>等通行隐患，</w:t>
      </w:r>
      <w:r>
        <w:rPr>
          <w:rFonts w:hint="eastAsia" w:ascii="仿宋" w:hAnsi="仿宋" w:eastAsia="仿宋" w:cs="仿宋_GB2312"/>
          <w:bCs/>
          <w:sz w:val="32"/>
          <w:szCs w:val="32"/>
        </w:rPr>
        <w:t>确保</w:t>
      </w:r>
      <w:r>
        <w:rPr>
          <w:rFonts w:ascii="仿宋" w:hAnsi="仿宋" w:eastAsia="仿宋" w:cs="仿宋_GB2312"/>
          <w:bCs/>
          <w:sz w:val="32"/>
          <w:szCs w:val="32"/>
        </w:rPr>
        <w:t>公交车辆通行安全。</w:t>
      </w:r>
    </w:p>
    <w:p>
      <w:pPr>
        <w:pStyle w:val="4"/>
        <w:widowControl/>
        <w:overflowPunct w:val="0"/>
        <w:spacing w:before="0" w:beforeAutospacing="0" w:after="0" w:afterAutospacing="0" w:line="560" w:lineRule="exact"/>
        <w:ind w:firstLine="640" w:firstLineChars="200"/>
        <w:jc w:val="both"/>
        <w:rPr>
          <w:rFonts w:ascii="仿宋" w:hAnsi="仿宋" w:eastAsia="仿宋" w:cs="仿宋_GB2312"/>
          <w:bCs/>
          <w:sz w:val="32"/>
          <w:szCs w:val="32"/>
        </w:rPr>
      </w:pPr>
      <w:r>
        <w:rPr>
          <w:rFonts w:hint="eastAsia" w:ascii="楷体" w:hAnsi="楷体" w:eastAsia="楷体" w:cs="楷体_GB2312"/>
          <w:bCs/>
          <w:sz w:val="32"/>
          <w:szCs w:val="32"/>
        </w:rPr>
        <w:t>（五）着力提升城市公共交通服务品质</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Cs/>
          <w:sz w:val="32"/>
          <w:szCs w:val="32"/>
        </w:rPr>
      </w:pPr>
      <w:r>
        <w:rPr>
          <w:rFonts w:hint="eastAsia" w:ascii="仿宋" w:hAnsi="仿宋" w:eastAsia="仿宋" w:cs="仿宋_GB2312"/>
          <w:b/>
          <w:sz w:val="32"/>
          <w:szCs w:val="32"/>
        </w:rPr>
        <w:t>1.完善城市公共交通服务体系。</w:t>
      </w:r>
      <w:r>
        <w:rPr>
          <w:rFonts w:hint="eastAsia" w:ascii="仿宋" w:hAnsi="仿宋" w:eastAsia="仿宋" w:cs="仿宋_GB2312"/>
          <w:bCs/>
          <w:sz w:val="32"/>
          <w:szCs w:val="32"/>
        </w:rPr>
        <w:t>推进公交行业服务标准化、规范化、精细化、人性化。2023年出台《城市公交线路优化技术导则》，指导优化公交线网布局和结构，构建快线、干线、支线、微线等分层服务网络，持续改善公交可达性和便捷性。鼓励技术创新、模式创新，研究探索BRT等</w:t>
      </w:r>
      <w:r>
        <w:rPr>
          <w:rFonts w:ascii="仿宋" w:hAnsi="仿宋" w:eastAsia="仿宋" w:cs="仿宋_GB2312"/>
          <w:bCs/>
          <w:sz w:val="32"/>
          <w:szCs w:val="32"/>
        </w:rPr>
        <w:t>大运量、中长距离</w:t>
      </w:r>
      <w:r>
        <w:rPr>
          <w:rFonts w:hint="eastAsia" w:ascii="仿宋" w:hAnsi="仿宋" w:eastAsia="仿宋" w:cs="仿宋_GB2312"/>
          <w:bCs/>
          <w:sz w:val="32"/>
          <w:szCs w:val="32"/>
        </w:rPr>
        <w:t>的</w:t>
      </w:r>
      <w:r>
        <w:rPr>
          <w:rFonts w:ascii="仿宋" w:hAnsi="仿宋" w:eastAsia="仿宋" w:cs="仿宋_GB2312"/>
          <w:bCs/>
          <w:sz w:val="32"/>
          <w:szCs w:val="32"/>
        </w:rPr>
        <w:t>公交</w:t>
      </w:r>
      <w:r>
        <w:rPr>
          <w:rFonts w:hint="eastAsia" w:ascii="仿宋" w:hAnsi="仿宋" w:eastAsia="仿宋" w:cs="仿宋_GB2312"/>
          <w:bCs/>
          <w:sz w:val="32"/>
          <w:szCs w:val="32"/>
        </w:rPr>
        <w:t>方式</w:t>
      </w:r>
      <w:r>
        <w:rPr>
          <w:rFonts w:ascii="仿宋" w:hAnsi="仿宋" w:eastAsia="仿宋" w:cs="仿宋_GB2312"/>
          <w:bCs/>
          <w:sz w:val="32"/>
          <w:szCs w:val="32"/>
        </w:rPr>
        <w:t>，</w:t>
      </w:r>
      <w:r>
        <w:rPr>
          <w:rFonts w:hint="eastAsia" w:ascii="仿宋" w:hAnsi="仿宋" w:eastAsia="仿宋" w:cs="仿宋_GB2312"/>
          <w:bCs/>
          <w:sz w:val="32"/>
          <w:szCs w:val="32"/>
        </w:rPr>
        <w:t>支持发展定制公交</w:t>
      </w:r>
      <w:r>
        <w:rPr>
          <w:rFonts w:ascii="仿宋" w:hAnsi="仿宋" w:eastAsia="仿宋" w:cs="仿宋_GB2312"/>
          <w:bCs/>
          <w:sz w:val="32"/>
          <w:szCs w:val="32"/>
        </w:rPr>
        <w:t>、</w:t>
      </w:r>
      <w:r>
        <w:rPr>
          <w:rFonts w:hint="eastAsia" w:ascii="仿宋" w:hAnsi="仿宋" w:eastAsia="仿宋" w:cs="仿宋_GB2312"/>
          <w:bCs/>
          <w:sz w:val="32"/>
          <w:szCs w:val="32"/>
        </w:rPr>
        <w:t>社区公交、</w:t>
      </w:r>
      <w:r>
        <w:rPr>
          <w:rFonts w:ascii="仿宋" w:hAnsi="仿宋" w:eastAsia="仿宋" w:cs="仿宋_GB2312"/>
          <w:bCs/>
          <w:sz w:val="32"/>
          <w:szCs w:val="32"/>
        </w:rPr>
        <w:t>快速公交</w:t>
      </w:r>
      <w:r>
        <w:rPr>
          <w:rFonts w:hint="eastAsia" w:ascii="仿宋" w:hAnsi="仿宋" w:eastAsia="仿宋" w:cs="仿宋_GB2312"/>
          <w:bCs/>
          <w:sz w:val="32"/>
          <w:szCs w:val="32"/>
        </w:rPr>
        <w:t>、助学</w:t>
      </w:r>
      <w:r>
        <w:rPr>
          <w:rFonts w:ascii="仿宋" w:hAnsi="仿宋" w:eastAsia="仿宋" w:cs="仿宋_GB2312"/>
          <w:bCs/>
          <w:sz w:val="32"/>
          <w:szCs w:val="32"/>
        </w:rPr>
        <w:t>公交、助农公交</w:t>
      </w:r>
      <w:r>
        <w:rPr>
          <w:rFonts w:hint="eastAsia" w:ascii="仿宋" w:hAnsi="仿宋" w:eastAsia="仿宋" w:cs="仿宋_GB2312"/>
          <w:bCs/>
          <w:sz w:val="32"/>
          <w:szCs w:val="32"/>
        </w:rPr>
        <w:t>、响应</w:t>
      </w:r>
      <w:r>
        <w:rPr>
          <w:rFonts w:ascii="仿宋" w:hAnsi="仿宋" w:eastAsia="仿宋" w:cs="仿宋_GB2312"/>
          <w:bCs/>
          <w:sz w:val="32"/>
          <w:szCs w:val="32"/>
        </w:rPr>
        <w:t>公交</w:t>
      </w:r>
      <w:r>
        <w:rPr>
          <w:rFonts w:hint="eastAsia" w:ascii="仿宋" w:hAnsi="仿宋" w:eastAsia="仿宋" w:cs="仿宋_GB2312"/>
          <w:bCs/>
          <w:sz w:val="32"/>
          <w:szCs w:val="32"/>
        </w:rPr>
        <w:t>等特色服务，拓展城市公共交通服务深度和广度，提升服务效率和服务品质。推进无障碍设施、</w:t>
      </w:r>
      <w:r>
        <w:rPr>
          <w:rFonts w:ascii="仿宋" w:hAnsi="仿宋" w:eastAsia="仿宋" w:cs="仿宋_GB2312"/>
          <w:bCs/>
          <w:sz w:val="32"/>
          <w:szCs w:val="32"/>
        </w:rPr>
        <w:t>信息化</w:t>
      </w:r>
      <w:r>
        <w:rPr>
          <w:rFonts w:hint="eastAsia" w:ascii="仿宋" w:hAnsi="仿宋" w:eastAsia="仿宋" w:cs="仿宋_GB2312"/>
          <w:bCs/>
          <w:sz w:val="32"/>
          <w:szCs w:val="32"/>
        </w:rPr>
        <w:t>及</w:t>
      </w:r>
      <w:r>
        <w:rPr>
          <w:rFonts w:ascii="仿宋" w:hAnsi="仿宋" w:eastAsia="仿宋" w:cs="仿宋_GB2312"/>
          <w:bCs/>
          <w:sz w:val="32"/>
          <w:szCs w:val="32"/>
        </w:rPr>
        <w:t>服务</w:t>
      </w:r>
      <w:r>
        <w:rPr>
          <w:rFonts w:hint="eastAsia" w:ascii="仿宋" w:hAnsi="仿宋" w:eastAsia="仿宋" w:cs="仿宋_GB2312"/>
          <w:bCs/>
          <w:sz w:val="32"/>
          <w:szCs w:val="32"/>
        </w:rPr>
        <w:t>在城市公共交通领域建设和应用，新建、改建、扩建道路和公共交通设施应当符合无障碍设施工程建设标准，优化城市公共交通领域适老化服务。积极推动免费及优惠乘车人群（儿童</w:t>
      </w:r>
      <w:r>
        <w:rPr>
          <w:rFonts w:ascii="仿宋" w:hAnsi="仿宋" w:eastAsia="仿宋" w:cs="仿宋_GB2312"/>
          <w:bCs/>
          <w:sz w:val="32"/>
          <w:szCs w:val="32"/>
        </w:rPr>
        <w:t>除外</w:t>
      </w:r>
      <w:r>
        <w:rPr>
          <w:rFonts w:hint="eastAsia" w:ascii="仿宋" w:hAnsi="仿宋" w:eastAsia="仿宋" w:cs="仿宋_GB2312"/>
          <w:bCs/>
          <w:sz w:val="32"/>
          <w:szCs w:val="32"/>
        </w:rPr>
        <w:t>）办理市民卡或其他实名制支付卡，到2025年办理比例达到90%以上。</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Cs/>
          <w:sz w:val="32"/>
          <w:szCs w:val="32"/>
        </w:rPr>
      </w:pPr>
      <w:r>
        <w:rPr>
          <w:rFonts w:hint="eastAsia" w:ascii="仿宋" w:hAnsi="仿宋" w:eastAsia="仿宋" w:cs="仿宋_GB2312"/>
          <w:b/>
          <w:sz w:val="32"/>
          <w:szCs w:val="32"/>
        </w:rPr>
        <w:t>2.推进城市公共交通系统智慧化更新升级。</w:t>
      </w:r>
      <w:r>
        <w:rPr>
          <w:rFonts w:hint="eastAsia" w:ascii="仿宋" w:hAnsi="仿宋" w:eastAsia="仿宋" w:cs="仿宋_GB2312"/>
          <w:bCs/>
          <w:sz w:val="32"/>
          <w:szCs w:val="32"/>
        </w:rPr>
        <w:t>鼓励新型智能交通运载工具应用，推进大数据、云计算、泛在互联、人工智能、车路协同等新技术在公交线网优化、运营调度、服务监管、行业管理和出行服务等方面的应用，提高城市公共交通智能化发展水平。积极拓展支付结算模式，探索“一卡通”等互联互通实体卡与移动支付方式的深度融合，提升便捷支付与创新应用能力。</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Cs/>
          <w:sz w:val="32"/>
          <w:szCs w:val="32"/>
        </w:rPr>
      </w:pPr>
      <w:r>
        <w:rPr>
          <w:rFonts w:hint="eastAsia" w:ascii="仿宋" w:hAnsi="仿宋" w:eastAsia="仿宋" w:cs="仿宋_GB2312"/>
          <w:b/>
          <w:sz w:val="32"/>
          <w:szCs w:val="32"/>
        </w:rPr>
        <w:t>3.深化城市公共交通行业精神文明建设。</w:t>
      </w:r>
      <w:r>
        <w:rPr>
          <w:rFonts w:hint="eastAsia" w:ascii="仿宋" w:hAnsi="仿宋" w:eastAsia="仿宋" w:cs="仿宋_GB2312"/>
          <w:bCs/>
          <w:sz w:val="32"/>
          <w:szCs w:val="32"/>
        </w:rPr>
        <w:t>深入开展“绿色出行宣传月”、“公交出行宣传周”等活动，广泛宣传发动群众选择低碳、环保绿色出行。加强城市公共交通精神文明和党建宣传教育，将城市公共交通行业打造成为新时代中国特色社会主义精神文明的重要窗口。加大行业先进典型的宣传力度，深化文明线路、岗位技能比武等城市公共交通服务品牌，营造文明从业、诚信从业的浓厚氛围。</w:t>
      </w:r>
    </w:p>
    <w:p>
      <w:pPr>
        <w:pStyle w:val="4"/>
        <w:widowControl/>
        <w:overflowPunct w:val="0"/>
        <w:spacing w:before="0" w:beforeAutospacing="0" w:after="0" w:afterAutospacing="0" w:line="560" w:lineRule="exact"/>
        <w:ind w:firstLine="640" w:firstLineChars="200"/>
        <w:jc w:val="both"/>
        <w:rPr>
          <w:rFonts w:ascii="楷体" w:hAnsi="楷体" w:eastAsia="楷体" w:cs="楷体_GB2312"/>
          <w:bCs/>
          <w:sz w:val="32"/>
          <w:szCs w:val="32"/>
        </w:rPr>
      </w:pPr>
      <w:r>
        <w:rPr>
          <w:rFonts w:hint="eastAsia" w:ascii="楷体" w:hAnsi="楷体" w:eastAsia="楷体" w:cs="楷体_GB2312"/>
          <w:bCs/>
          <w:sz w:val="32"/>
          <w:szCs w:val="32"/>
        </w:rPr>
        <w:t>（六）促进公共交通创新协调发展</w:t>
      </w:r>
    </w:p>
    <w:p>
      <w:pPr>
        <w:pStyle w:val="4"/>
        <w:widowControl/>
        <w:overflowPunct w:val="0"/>
        <w:spacing w:before="0" w:beforeAutospacing="0" w:after="0" w:afterAutospacing="0" w:line="560" w:lineRule="exact"/>
        <w:ind w:firstLine="642" w:firstLineChars="200"/>
        <w:jc w:val="both"/>
        <w:rPr>
          <w:rFonts w:ascii="仿宋" w:hAnsi="仿宋" w:eastAsia="仿宋" w:cs="仿宋_GB2312"/>
          <w:bCs/>
          <w:sz w:val="32"/>
          <w:szCs w:val="32"/>
        </w:rPr>
      </w:pPr>
      <w:r>
        <w:rPr>
          <w:rFonts w:hint="eastAsia" w:ascii="仿宋" w:hAnsi="仿宋" w:eastAsia="仿宋" w:cs="仿宋_GB2312"/>
          <w:b/>
          <w:sz w:val="32"/>
          <w:szCs w:val="32"/>
        </w:rPr>
        <w:t>1.加强城市公共交通安全管理。</w:t>
      </w:r>
      <w:r>
        <w:rPr>
          <w:rFonts w:hint="eastAsia" w:ascii="仿宋" w:hAnsi="仿宋" w:eastAsia="仿宋" w:cs="仿宋_GB2312"/>
          <w:bCs/>
          <w:sz w:val="32"/>
          <w:szCs w:val="32"/>
        </w:rPr>
        <w:t>落实安全管理制度、安全生产责任，建立覆盖全行业的风险分级管控和隐患排查治理双重预防体系，不断推进车辆安全防范新技术应用，实施车辆运行状态监控，提高安全防控能力。</w:t>
      </w:r>
      <w:r>
        <w:rPr>
          <w:rFonts w:hint="eastAsia" w:ascii="仿宋" w:hAnsi="仿宋" w:eastAsia="仿宋" w:cs="楷体_GB2312"/>
          <w:bCs/>
          <w:sz w:val="32"/>
          <w:szCs w:val="32"/>
        </w:rPr>
        <w:t>健全安全应急预案管理体系，定期组织培训演练。</w:t>
      </w:r>
    </w:p>
    <w:p>
      <w:pPr>
        <w:overflowPunct w:val="0"/>
        <w:spacing w:line="560" w:lineRule="exact"/>
        <w:ind w:firstLine="642" w:firstLineChars="200"/>
        <w:rPr>
          <w:rFonts w:ascii="仿宋" w:hAnsi="仿宋" w:eastAsia="仿宋"/>
          <w:sz w:val="32"/>
          <w:szCs w:val="32"/>
        </w:rPr>
      </w:pPr>
      <w:r>
        <w:rPr>
          <w:rFonts w:ascii="仿宋" w:hAnsi="仿宋" w:eastAsia="仿宋" w:cs="仿宋_GB2312"/>
          <w:b/>
          <w:kern w:val="0"/>
          <w:sz w:val="32"/>
          <w:szCs w:val="32"/>
        </w:rPr>
        <w:t>2</w:t>
      </w:r>
      <w:r>
        <w:rPr>
          <w:rFonts w:hint="eastAsia" w:ascii="仿宋" w:hAnsi="仿宋" w:eastAsia="仿宋"/>
          <w:b/>
          <w:bCs/>
          <w:sz w:val="32"/>
          <w:szCs w:val="32"/>
        </w:rPr>
        <w:t>.促进综合交通运输协调发展。</w:t>
      </w:r>
      <w:r>
        <w:rPr>
          <w:rFonts w:hint="eastAsia" w:ascii="仿宋" w:hAnsi="仿宋" w:eastAsia="仿宋"/>
          <w:sz w:val="32"/>
          <w:szCs w:val="32"/>
        </w:rPr>
        <w:t>城市公共交通要与道路、铁路、水路</w:t>
      </w:r>
      <w:r>
        <w:rPr>
          <w:rFonts w:ascii="仿宋" w:hAnsi="仿宋" w:eastAsia="仿宋"/>
          <w:sz w:val="32"/>
          <w:szCs w:val="32"/>
        </w:rPr>
        <w:t>、</w:t>
      </w:r>
      <w:r>
        <w:rPr>
          <w:rFonts w:hint="eastAsia" w:ascii="仿宋" w:hAnsi="仿宋" w:eastAsia="仿宋"/>
          <w:sz w:val="32"/>
          <w:szCs w:val="32"/>
        </w:rPr>
        <w:t>航空、轨道</w:t>
      </w:r>
      <w:r>
        <w:rPr>
          <w:rFonts w:ascii="仿宋" w:hAnsi="仿宋" w:eastAsia="仿宋"/>
          <w:sz w:val="32"/>
          <w:szCs w:val="32"/>
        </w:rPr>
        <w:t>交通等</w:t>
      </w:r>
      <w:r>
        <w:rPr>
          <w:rFonts w:hint="eastAsia" w:ascii="仿宋" w:hAnsi="仿宋" w:eastAsia="仿宋"/>
          <w:sz w:val="32"/>
          <w:szCs w:val="32"/>
        </w:rPr>
        <w:t>统筹发展，规划建设与长途汽车站、火车站、机场、港口客运站规模相配套的公交停车场站和综合枢纽等基础设施，建立科学合理的综合交通运输体系，实现各种交通方式之间的无缝衔接。</w:t>
      </w:r>
    </w:p>
    <w:p>
      <w:pPr>
        <w:overflowPunct w:val="0"/>
        <w:spacing w:line="560" w:lineRule="exact"/>
        <w:ind w:firstLine="642" w:firstLineChars="200"/>
        <w:rPr>
          <w:rFonts w:ascii="仿宋" w:hAnsi="仿宋" w:eastAsia="仿宋"/>
          <w:b/>
          <w:bCs/>
          <w:sz w:val="32"/>
          <w:szCs w:val="32"/>
        </w:rPr>
      </w:pPr>
      <w:r>
        <w:rPr>
          <w:rFonts w:ascii="仿宋" w:hAnsi="仿宋" w:eastAsia="仿宋"/>
          <w:b/>
          <w:bCs/>
          <w:sz w:val="32"/>
          <w:szCs w:val="32"/>
        </w:rPr>
        <w:t>3</w:t>
      </w:r>
      <w:r>
        <w:rPr>
          <w:rFonts w:hint="eastAsia" w:ascii="仿宋" w:hAnsi="仿宋" w:eastAsia="仿宋"/>
          <w:b/>
          <w:bCs/>
          <w:sz w:val="32"/>
          <w:szCs w:val="32"/>
        </w:rPr>
        <w:t>.支持公交企业高质量发展。</w:t>
      </w:r>
      <w:r>
        <w:rPr>
          <w:rFonts w:hint="eastAsia" w:ascii="仿宋" w:hAnsi="仿宋" w:eastAsia="仿宋"/>
          <w:sz w:val="32"/>
          <w:szCs w:val="32"/>
        </w:rPr>
        <w:t>支持城市公共交通企业按照产权清晰、权责明确、政企分开、管理科学的原则，进一步完善现代企业制度，不断提高企业管理服务水平，促进可持续发展。</w:t>
      </w:r>
    </w:p>
    <w:p>
      <w:pPr>
        <w:overflowPunct w:val="0"/>
        <w:spacing w:line="560" w:lineRule="exact"/>
        <w:ind w:firstLine="640" w:firstLineChars="200"/>
        <w:rPr>
          <w:rFonts w:ascii="黑体" w:hAnsi="黑体" w:eastAsia="黑体"/>
          <w:sz w:val="32"/>
          <w:szCs w:val="32"/>
        </w:rPr>
      </w:pPr>
      <w:r>
        <w:rPr>
          <w:rFonts w:hint="eastAsia" w:ascii="黑体" w:hAnsi="黑体" w:eastAsia="黑体"/>
          <w:sz w:val="32"/>
          <w:szCs w:val="32"/>
        </w:rPr>
        <w:t>三、保障措施</w:t>
      </w:r>
    </w:p>
    <w:p>
      <w:pPr>
        <w:overflowPunct w:val="0"/>
        <w:spacing w:line="560" w:lineRule="exact"/>
        <w:ind w:firstLine="640" w:firstLineChars="200"/>
        <w:rPr>
          <w:rFonts w:ascii="仿宋" w:hAnsi="仿宋" w:eastAsia="仿宋"/>
          <w:sz w:val="32"/>
          <w:szCs w:val="32"/>
        </w:rPr>
      </w:pPr>
      <w:r>
        <w:rPr>
          <w:rFonts w:hint="eastAsia" w:ascii="楷体" w:hAnsi="楷体" w:eastAsia="楷体" w:cs="楷体_GB2312"/>
          <w:bCs/>
          <w:kern w:val="0"/>
          <w:sz w:val="32"/>
          <w:szCs w:val="32"/>
        </w:rPr>
        <w:t>（一）完善工作机制。</w:t>
      </w:r>
      <w:r>
        <w:rPr>
          <w:rFonts w:hint="eastAsia" w:ascii="仿宋" w:hAnsi="仿宋" w:eastAsia="仿宋"/>
          <w:sz w:val="32"/>
          <w:szCs w:val="32"/>
        </w:rPr>
        <w:t>市、县级人民政府应加强组织领导，强化责任意识，推动形成多部门联动的综合协调机制，定期研究解决城市公共交通发展中遇到的问题，全力推进城市公共交通优先发展。</w:t>
      </w:r>
    </w:p>
    <w:p>
      <w:pPr>
        <w:overflowPunct w:val="0"/>
        <w:spacing w:line="560" w:lineRule="exact"/>
        <w:ind w:firstLine="640" w:firstLineChars="200"/>
        <w:rPr>
          <w:rFonts w:ascii="仿宋" w:hAnsi="仿宋" w:eastAsia="仿宋"/>
          <w:b/>
          <w:sz w:val="32"/>
          <w:szCs w:val="32"/>
        </w:rPr>
      </w:pPr>
      <w:r>
        <w:rPr>
          <w:rFonts w:hint="eastAsia" w:ascii="楷体" w:hAnsi="楷体" w:eastAsia="楷体" w:cs="楷体_GB2312"/>
          <w:bCs/>
          <w:kern w:val="0"/>
          <w:sz w:val="32"/>
          <w:szCs w:val="32"/>
        </w:rPr>
        <w:t>（二）健全政策体系。</w:t>
      </w:r>
      <w:r>
        <w:rPr>
          <w:rFonts w:hint="eastAsia" w:ascii="仿宋" w:hAnsi="仿宋" w:eastAsia="仿宋"/>
          <w:sz w:val="32"/>
          <w:szCs w:val="32"/>
        </w:rPr>
        <w:t>健全和完善城市公共交通优先发展的相关政策体系，推动完成立法工作。研究制定城市公共交通运营服务、设施建设、乘车规则等方面的标准规范，为服务城市公共交通优先发展提供技术支持。</w:t>
      </w:r>
    </w:p>
    <w:p>
      <w:pPr>
        <w:pStyle w:val="4"/>
        <w:widowControl/>
        <w:overflowPunct w:val="0"/>
        <w:spacing w:before="0" w:beforeAutospacing="0" w:after="0" w:afterAutospacing="0" w:line="560" w:lineRule="exact"/>
        <w:ind w:firstLine="640" w:firstLineChars="200"/>
        <w:jc w:val="both"/>
        <w:rPr>
          <w:rFonts w:ascii="仿宋" w:hAnsi="仿宋" w:eastAsia="仿宋" w:cstheme="minorBidi"/>
          <w:kern w:val="2"/>
          <w:sz w:val="32"/>
          <w:szCs w:val="32"/>
        </w:rPr>
      </w:pPr>
      <w:r>
        <w:rPr>
          <w:rFonts w:hint="eastAsia" w:ascii="楷体" w:hAnsi="楷体" w:eastAsia="楷体" w:cs="楷体_GB2312"/>
          <w:bCs/>
          <w:sz w:val="32"/>
          <w:szCs w:val="32"/>
        </w:rPr>
        <w:t>（三）强化社会监督。</w:t>
      </w:r>
      <w:r>
        <w:rPr>
          <w:rFonts w:hint="eastAsia" w:ascii="仿宋" w:hAnsi="仿宋" w:eastAsia="仿宋" w:cstheme="minorBidi"/>
          <w:kern w:val="2"/>
          <w:sz w:val="32"/>
          <w:szCs w:val="32"/>
        </w:rPr>
        <w:t>加强舆论宣传引导，不断增强公众对绿色出行、公交优先的认同感。充分发挥各类媒体、行业协会、专家智库和公益组织的作用，广泛动员全社会积极参与，形成共建、共享、共治的城市公共交通优先发展格局。</w:t>
      </w:r>
    </w:p>
    <w:p>
      <w:pPr>
        <w:pStyle w:val="4"/>
        <w:widowControl/>
        <w:overflowPunct w:val="0"/>
        <w:spacing w:before="0" w:beforeAutospacing="0" w:after="0" w:afterAutospacing="0" w:line="560" w:lineRule="exact"/>
        <w:ind w:firstLine="640" w:firstLineChars="200"/>
        <w:jc w:val="both"/>
        <w:rPr>
          <w:rFonts w:hint="eastAsia" w:ascii="仿宋" w:hAnsi="仿宋" w:eastAsia="仿宋" w:cstheme="minorBidi"/>
          <w:kern w:val="2"/>
          <w:sz w:val="32"/>
          <w:szCs w:val="32"/>
        </w:rPr>
      </w:pPr>
      <w:r>
        <w:rPr>
          <w:rFonts w:hint="eastAsia" w:ascii="楷体" w:hAnsi="楷体" w:eastAsia="楷体" w:cs="楷体_GB2312"/>
          <w:bCs/>
          <w:sz w:val="32"/>
          <w:szCs w:val="32"/>
        </w:rPr>
        <w:t>（四）维护职工合法权益。</w:t>
      </w:r>
      <w:r>
        <w:rPr>
          <w:rFonts w:hint="eastAsia" w:ascii="仿宋" w:hAnsi="仿宋" w:eastAsia="仿宋" w:cstheme="minorBidi"/>
          <w:kern w:val="2"/>
          <w:sz w:val="32"/>
          <w:szCs w:val="32"/>
        </w:rPr>
        <w:t>促进公交企业与驾驶员依法建立和规范劳动关系，加强劳动保护。建立健全职工工资增长机制，合理提高企业职工收入和社会保障水平。定期组织从业人员身心健康检查，建立健康档案，保护从业人员身心健康。</w:t>
      </w:r>
    </w:p>
    <w:p>
      <w:pPr>
        <w:rPr>
          <w:rFonts w:hint="eastAsia" w:ascii="仿宋" w:hAnsi="仿宋" w:eastAsia="仿宋" w:cstheme="minorBidi"/>
          <w:kern w:val="2"/>
          <w:sz w:val="32"/>
          <w:szCs w:val="32"/>
        </w:rPr>
        <w:sectPr>
          <w:pgSz w:w="11906" w:h="16838"/>
          <w:pgMar w:top="1440" w:right="1800" w:bottom="1440" w:left="1800" w:header="851" w:footer="992" w:gutter="0"/>
          <w:pgNumType w:fmt="numberInDash" w:start="1"/>
          <w:cols w:space="425" w:num="1"/>
          <w:docGrid w:type="lines" w:linePitch="312" w:charSpace="0"/>
        </w:sectPr>
      </w:pPr>
      <w:r>
        <w:rPr>
          <w:rFonts w:hint="eastAsia" w:ascii="仿宋" w:hAnsi="仿宋" w:eastAsia="仿宋" w:cstheme="minorBidi"/>
          <w:kern w:val="2"/>
          <w:sz w:val="32"/>
          <w:szCs w:val="32"/>
        </w:rPr>
        <w:br w:type="page"/>
      </w:r>
    </w:p>
    <w:p>
      <w:pPr>
        <w:rPr>
          <w:rFonts w:hint="eastAsia" w:ascii="仿宋" w:hAnsi="仿宋" w:eastAsia="仿宋" w:cstheme="minorBidi"/>
          <w:kern w:val="2"/>
          <w:sz w:val="32"/>
          <w:szCs w:val="32"/>
        </w:rPr>
      </w:pPr>
    </w:p>
    <w:p>
      <w:pPr>
        <w:pStyle w:val="4"/>
        <w:widowControl/>
        <w:overflowPunct w:val="0"/>
        <w:spacing w:before="0" w:beforeAutospacing="0" w:after="0" w:afterAutospacing="0" w:line="560" w:lineRule="exact"/>
        <w:ind w:firstLine="640" w:firstLineChars="200"/>
        <w:jc w:val="both"/>
        <w:rPr>
          <w:rFonts w:hint="eastAsia" w:ascii="仿宋" w:hAnsi="仿宋" w:eastAsia="仿宋" w:cstheme="minorBidi"/>
          <w:kern w:val="2"/>
          <w:sz w:val="32"/>
          <w:szCs w:val="32"/>
        </w:rPr>
        <w:sectPr>
          <w:pgSz w:w="16838" w:h="11906" w:orient="landscape"/>
          <w:pgMar w:top="1803" w:right="1440" w:bottom="1803" w:left="1440" w:header="851" w:footer="992" w:gutter="0"/>
          <w:pgNumType w:fmt="numberInDash" w:start="1"/>
          <w:cols w:space="0" w:num="1"/>
          <w:rtlGutter w:val="0"/>
          <w:docGrid w:type="lines" w:linePitch="319" w:charSpace="0"/>
        </w:sectPr>
      </w:pPr>
    </w:p>
    <w:p>
      <w:pPr>
        <w:jc w:val="center"/>
        <w:rPr>
          <w:rFonts w:ascii="方正小标宋简体" w:eastAsia="方正小标宋简体"/>
          <w:sz w:val="44"/>
          <w:szCs w:val="44"/>
        </w:rPr>
      </w:pPr>
      <w:r>
        <w:rPr>
          <w:rFonts w:hint="eastAsia" w:ascii="方正小标宋简体" w:eastAsia="方正小标宋简体"/>
          <w:sz w:val="44"/>
          <w:szCs w:val="44"/>
        </w:rPr>
        <w:t>《关于优先发展城市公共交通的实施意见》重点任务分工</w:t>
      </w:r>
    </w:p>
    <w:tbl>
      <w:tblPr>
        <w:tblStyle w:val="6"/>
        <w:tblpPr w:leftFromText="180" w:rightFromText="180" w:vertAnchor="text" w:horzAnchor="margin" w:tblpY="24"/>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551"/>
        <w:gridCol w:w="836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Align w:val="center"/>
          </w:tcPr>
          <w:p>
            <w:pPr>
              <w:jc w:val="center"/>
              <w:rPr>
                <w:rFonts w:ascii="黑体" w:hAnsi="黑体" w:eastAsia="黑体"/>
                <w:b/>
                <w:sz w:val="28"/>
                <w:szCs w:val="28"/>
              </w:rPr>
            </w:pPr>
            <w:r>
              <w:rPr>
                <w:rFonts w:hint="eastAsia" w:ascii="黑体" w:hAnsi="黑体" w:eastAsia="黑体"/>
                <w:b/>
                <w:sz w:val="28"/>
                <w:szCs w:val="28"/>
              </w:rPr>
              <w:t>序号</w:t>
            </w:r>
          </w:p>
        </w:tc>
        <w:tc>
          <w:tcPr>
            <w:tcW w:w="2551" w:type="dxa"/>
            <w:vAlign w:val="center"/>
          </w:tcPr>
          <w:p>
            <w:pPr>
              <w:jc w:val="center"/>
              <w:rPr>
                <w:rFonts w:ascii="黑体" w:hAnsi="黑体" w:eastAsia="黑体"/>
                <w:b/>
                <w:sz w:val="28"/>
                <w:szCs w:val="28"/>
              </w:rPr>
            </w:pPr>
            <w:r>
              <w:rPr>
                <w:rFonts w:hint="eastAsia" w:ascii="黑体" w:hAnsi="黑体" w:eastAsia="黑体"/>
                <w:b/>
                <w:sz w:val="28"/>
                <w:szCs w:val="28"/>
              </w:rPr>
              <w:t>主要任务</w:t>
            </w:r>
          </w:p>
        </w:tc>
        <w:tc>
          <w:tcPr>
            <w:tcW w:w="8363" w:type="dxa"/>
            <w:vAlign w:val="center"/>
          </w:tcPr>
          <w:p>
            <w:pPr>
              <w:jc w:val="center"/>
              <w:rPr>
                <w:rFonts w:ascii="黑体" w:hAnsi="黑体" w:eastAsia="黑体"/>
                <w:b/>
                <w:sz w:val="28"/>
                <w:szCs w:val="28"/>
              </w:rPr>
            </w:pPr>
            <w:r>
              <w:rPr>
                <w:rFonts w:hint="eastAsia" w:ascii="黑体" w:hAnsi="黑体" w:eastAsia="黑体"/>
                <w:b/>
                <w:sz w:val="28"/>
                <w:szCs w:val="28"/>
              </w:rPr>
              <w:t>工作</w:t>
            </w:r>
            <w:r>
              <w:rPr>
                <w:rFonts w:ascii="黑体" w:hAnsi="黑体" w:eastAsia="黑体"/>
                <w:b/>
                <w:sz w:val="28"/>
                <w:szCs w:val="28"/>
              </w:rPr>
              <w:t>内容及要求</w:t>
            </w:r>
          </w:p>
        </w:tc>
        <w:tc>
          <w:tcPr>
            <w:tcW w:w="2835" w:type="dxa"/>
            <w:vAlign w:val="center"/>
          </w:tcPr>
          <w:p>
            <w:pPr>
              <w:jc w:val="center"/>
              <w:rPr>
                <w:rFonts w:ascii="黑体" w:hAnsi="黑体" w:eastAsia="黑体"/>
                <w:b/>
                <w:sz w:val="28"/>
                <w:szCs w:val="28"/>
              </w:rPr>
            </w:pPr>
            <w:r>
              <w:rPr>
                <w:rFonts w:hint="eastAsia" w:ascii="黑体" w:hAnsi="黑体" w:eastAsia="黑体"/>
                <w:b/>
                <w:sz w:val="28"/>
                <w:szCs w:val="28"/>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8"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2551"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规范规划编制</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编制城市综合交通体系规划和公共交通规划，作为空间类专项规划，纳入国土空间规划体系。</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市自然</w:t>
            </w:r>
            <w:r>
              <w:rPr>
                <w:rFonts w:ascii="仿宋" w:hAnsi="仿宋" w:eastAsia="仿宋"/>
                <w:sz w:val="28"/>
                <w:szCs w:val="28"/>
              </w:rPr>
              <w:t>资源和规划局</w:t>
            </w:r>
          </w:p>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住房和城乡建设局</w:t>
            </w:r>
          </w:p>
          <w:p>
            <w:pPr>
              <w:snapToGrid w:val="0"/>
              <w:contextualSpacing/>
              <w:jc w:val="center"/>
              <w:rPr>
                <w:rFonts w:ascii="仿宋" w:hAnsi="仿宋" w:eastAsia="仿宋"/>
                <w:sz w:val="28"/>
                <w:szCs w:val="28"/>
              </w:rPr>
            </w:pPr>
            <w:r>
              <w:rPr>
                <w:rFonts w:hint="eastAsia" w:ascii="仿宋" w:hAnsi="仿宋" w:eastAsia="仿宋"/>
                <w:sz w:val="28"/>
                <w:szCs w:val="28"/>
              </w:rPr>
              <w:t>各</w:t>
            </w:r>
            <w:r>
              <w:rPr>
                <w:rFonts w:ascii="仿宋" w:hAnsi="仿宋" w:eastAsia="仿宋"/>
                <w:sz w:val="28"/>
                <w:szCs w:val="28"/>
              </w:rPr>
              <w:t>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2551"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严格落实规划</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定期对规划实施过程进行监督检查，严禁擅自变更规划，确保规划执行到位。</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市自然</w:t>
            </w:r>
            <w:r>
              <w:rPr>
                <w:rFonts w:ascii="仿宋" w:hAnsi="仿宋" w:eastAsia="仿宋"/>
                <w:sz w:val="28"/>
                <w:szCs w:val="28"/>
              </w:rPr>
              <w:t>资源和规划局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住房和城乡建设局</w:t>
            </w:r>
          </w:p>
          <w:p>
            <w:pPr>
              <w:snapToGrid w:val="0"/>
              <w:contextualSpacing/>
              <w:jc w:val="center"/>
              <w:rPr>
                <w:rFonts w:ascii="仿宋" w:hAnsi="仿宋" w:eastAsia="仿宋"/>
                <w:sz w:val="28"/>
                <w:szCs w:val="28"/>
              </w:rPr>
            </w:pPr>
            <w:r>
              <w:rPr>
                <w:rFonts w:hint="eastAsia" w:ascii="仿宋" w:hAnsi="仿宋" w:eastAsia="仿宋"/>
                <w:sz w:val="28"/>
                <w:szCs w:val="28"/>
              </w:rPr>
              <w:t>各</w:t>
            </w:r>
            <w:r>
              <w:rPr>
                <w:rFonts w:ascii="仿宋" w:hAnsi="仿宋" w:eastAsia="仿宋"/>
                <w:sz w:val="28"/>
                <w:szCs w:val="28"/>
              </w:rPr>
              <w:t>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8" w:hRule="atLeast"/>
        </w:trPr>
        <w:tc>
          <w:tcPr>
            <w:tcW w:w="988" w:type="dxa"/>
            <w:vMerge w:val="restart"/>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2551" w:type="dxa"/>
            <w:vMerge w:val="restart"/>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加强规划衔接</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加强城市公共交通规划与国民经济和社会发展规划、国土空间总体规划、城市综合交通规划等有效衔接，将规划成果纳入详细规划中，切实提升规划的衔接和融合。</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市自然</w:t>
            </w:r>
            <w:r>
              <w:rPr>
                <w:rFonts w:ascii="仿宋" w:hAnsi="仿宋" w:eastAsia="仿宋"/>
                <w:sz w:val="28"/>
                <w:szCs w:val="28"/>
              </w:rPr>
              <w:t>资源和规划局</w:t>
            </w:r>
          </w:p>
          <w:p>
            <w:pPr>
              <w:snapToGrid w:val="0"/>
              <w:contextualSpacing/>
              <w:jc w:val="center"/>
              <w:rPr>
                <w:rFonts w:ascii="仿宋" w:hAnsi="仿宋" w:eastAsia="仿宋"/>
                <w:sz w:val="28"/>
                <w:szCs w:val="28"/>
              </w:rPr>
            </w:pPr>
            <w:r>
              <w:rPr>
                <w:rFonts w:hint="eastAsia" w:ascii="仿宋" w:hAnsi="仿宋" w:eastAsia="仿宋"/>
                <w:sz w:val="28"/>
                <w:szCs w:val="28"/>
              </w:rPr>
              <w:t>各</w:t>
            </w:r>
            <w:r>
              <w:rPr>
                <w:rFonts w:ascii="仿宋" w:hAnsi="仿宋" w:eastAsia="仿宋"/>
                <w:sz w:val="28"/>
                <w:szCs w:val="28"/>
              </w:rPr>
              <w:t>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jc w:val="center"/>
              <w:rPr>
                <w:rFonts w:ascii="Times New Roman" w:hAnsi="Times New Roman" w:eastAsia="仿宋" w:cs="Times New Roman"/>
                <w:sz w:val="28"/>
                <w:szCs w:val="28"/>
              </w:rPr>
            </w:pP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规划布局综合立体交通枢纽，建立现代城市换乘系统，优化公共交通功能结构，促进城市内外交通便利衔接和城乡公共交通一体化发展，加强与个体机动化交通以及步行、自行车出行的协调，推动城市绿色出行，引领低碳交通发展。</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市自然</w:t>
            </w:r>
            <w:r>
              <w:rPr>
                <w:rFonts w:ascii="仿宋" w:hAnsi="仿宋" w:eastAsia="仿宋"/>
                <w:sz w:val="28"/>
                <w:szCs w:val="28"/>
              </w:rPr>
              <w:t>资源和规划局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住房和城乡建设局</w:t>
            </w:r>
          </w:p>
          <w:p>
            <w:pPr>
              <w:snapToGrid w:val="0"/>
              <w:contextualSpacing/>
              <w:jc w:val="center"/>
              <w:rPr>
                <w:rFonts w:ascii="仿宋" w:hAnsi="仿宋" w:eastAsia="仿宋"/>
                <w:sz w:val="28"/>
                <w:szCs w:val="28"/>
              </w:rPr>
            </w:pPr>
            <w:r>
              <w:rPr>
                <w:rFonts w:hint="eastAsia" w:ascii="仿宋" w:hAnsi="仿宋" w:eastAsia="仿宋"/>
                <w:sz w:val="28"/>
                <w:szCs w:val="28"/>
              </w:rPr>
              <w:t>市城市</w:t>
            </w:r>
            <w:r>
              <w:rPr>
                <w:rFonts w:ascii="仿宋" w:hAnsi="仿宋" w:eastAsia="仿宋"/>
                <w:sz w:val="28"/>
                <w:szCs w:val="28"/>
              </w:rPr>
              <w:t>管理局</w:t>
            </w:r>
          </w:p>
          <w:p>
            <w:pPr>
              <w:snapToGrid w:val="0"/>
              <w:contextualSpacing/>
              <w:jc w:val="center"/>
              <w:rPr>
                <w:rFonts w:ascii="仿宋" w:hAnsi="仿宋" w:eastAsia="仿宋"/>
                <w:sz w:val="28"/>
                <w:szCs w:val="28"/>
              </w:rPr>
            </w:pPr>
            <w:r>
              <w:rPr>
                <w:rFonts w:hint="eastAsia" w:ascii="仿宋" w:hAnsi="仿宋" w:eastAsia="仿宋"/>
                <w:sz w:val="28"/>
                <w:szCs w:val="28"/>
              </w:rPr>
              <w:t>各</w:t>
            </w:r>
            <w:r>
              <w:rPr>
                <w:rFonts w:ascii="仿宋" w:hAnsi="仿宋" w:eastAsia="仿宋"/>
                <w:sz w:val="28"/>
                <w:szCs w:val="28"/>
              </w:rPr>
              <w:t>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4</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落实城市公共交通配套基础设施建设</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严格落实《烟台市大型建筑公交场站配建导则》等标准规范，把公共交通规划确定的公交基础设施用地（含保养场、首末站、中途站、调度中心、港湾式停靠站、公共停车场等）纳入城市更新、道路新建改造、保障性住房、大型商业区、规模社区、城市公共活动场所、高校园区等大型城市建设项目大盘，实行同步规划、同步设计、同步建设、同步验收、同步交付使用。对未按规定要求配套建设公共交通设施的项目一律不予审批、验收。</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住房和城乡建设局</w:t>
            </w:r>
          </w:p>
          <w:p>
            <w:pPr>
              <w:snapToGrid w:val="0"/>
              <w:contextualSpacing/>
              <w:jc w:val="center"/>
              <w:rPr>
                <w:rFonts w:ascii="仿宋" w:hAnsi="仿宋" w:eastAsia="仿宋"/>
                <w:sz w:val="28"/>
                <w:szCs w:val="28"/>
              </w:rPr>
            </w:pPr>
            <w:r>
              <w:rPr>
                <w:rFonts w:hint="eastAsia" w:ascii="仿宋" w:hAnsi="仿宋" w:eastAsia="仿宋"/>
                <w:sz w:val="28"/>
                <w:szCs w:val="28"/>
              </w:rPr>
              <w:t>市城市</w:t>
            </w:r>
            <w:r>
              <w:rPr>
                <w:rFonts w:ascii="仿宋" w:hAnsi="仿宋" w:eastAsia="仿宋"/>
                <w:sz w:val="28"/>
                <w:szCs w:val="28"/>
              </w:rPr>
              <w:t>管理局</w:t>
            </w:r>
          </w:p>
          <w:p>
            <w:pPr>
              <w:snapToGrid w:val="0"/>
              <w:contextualSpacing/>
              <w:jc w:val="center"/>
              <w:rPr>
                <w:rFonts w:ascii="仿宋" w:hAnsi="仿宋" w:eastAsia="仿宋"/>
                <w:sz w:val="28"/>
                <w:szCs w:val="28"/>
              </w:rPr>
            </w:pPr>
            <w:r>
              <w:rPr>
                <w:rFonts w:hint="eastAsia" w:ascii="仿宋" w:hAnsi="仿宋" w:eastAsia="仿宋"/>
                <w:sz w:val="28"/>
                <w:szCs w:val="28"/>
              </w:rPr>
              <w:t>市自然</w:t>
            </w:r>
            <w:r>
              <w:rPr>
                <w:rFonts w:ascii="仿宋" w:hAnsi="仿宋" w:eastAsia="仿宋"/>
                <w:sz w:val="28"/>
                <w:szCs w:val="28"/>
              </w:rPr>
              <w:t>资源和规划局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行政审批局</w:t>
            </w:r>
          </w:p>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Merge w:val="restart"/>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5</w:t>
            </w:r>
          </w:p>
        </w:tc>
        <w:tc>
          <w:tcPr>
            <w:tcW w:w="2551" w:type="dxa"/>
            <w:vMerge w:val="restart"/>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提升公交中途停靠站及配套设施建设水平</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公交中途停靠站及配套设施建设应当遵循设计规范、美观牢固、电子智能、能湾则湾及符合沿海城市特点的原则，实行统一规划、统一标准、统一样式、统一智能。</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交通运输局</w:t>
            </w:r>
          </w:p>
          <w:p>
            <w:pPr>
              <w:snapToGrid w:val="0"/>
              <w:contextualSpacing/>
              <w:jc w:val="center"/>
              <w:rPr>
                <w:rFonts w:ascii="仿宋" w:hAnsi="仿宋" w:eastAsia="仿宋"/>
                <w:sz w:val="28"/>
                <w:szCs w:val="28"/>
              </w:rPr>
            </w:pPr>
            <w:r>
              <w:rPr>
                <w:rFonts w:hint="eastAsia" w:ascii="仿宋" w:hAnsi="仿宋" w:eastAsia="仿宋"/>
                <w:sz w:val="28"/>
                <w:szCs w:val="28"/>
              </w:rPr>
              <w:t>各区市人民</w:t>
            </w:r>
            <w:r>
              <w:rPr>
                <w:rFonts w:ascii="仿宋" w:hAnsi="仿宋" w:eastAsia="仿宋"/>
                <w:sz w:val="28"/>
                <w:szCs w:val="28"/>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jc w:val="center"/>
              <w:rPr>
                <w:rFonts w:ascii="Times New Roman" w:hAnsi="Times New Roman" w:eastAsia="仿宋" w:cs="Times New Roman"/>
                <w:sz w:val="28"/>
                <w:szCs w:val="28"/>
              </w:rPr>
            </w:pP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依法依规简化建设审批许可</w:t>
            </w:r>
            <w:r>
              <w:rPr>
                <w:rFonts w:ascii="仿宋" w:hAnsi="仿宋" w:eastAsia="仿宋"/>
                <w:sz w:val="28"/>
                <w:szCs w:val="28"/>
              </w:rPr>
              <w:t>流程，</w:t>
            </w:r>
            <w:r>
              <w:rPr>
                <w:rFonts w:hint="eastAsia" w:ascii="仿宋" w:hAnsi="仿宋" w:eastAsia="仿宋"/>
                <w:sz w:val="28"/>
                <w:szCs w:val="28"/>
              </w:rPr>
              <w:t>减免相关许可手续。</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发展改革委</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行政审批局</w:t>
            </w:r>
          </w:p>
          <w:p>
            <w:pPr>
              <w:snapToGrid w:val="0"/>
              <w:contextualSpacing/>
              <w:jc w:val="center"/>
              <w:rPr>
                <w:rFonts w:ascii="仿宋" w:hAnsi="仿宋" w:eastAsia="仿宋"/>
                <w:sz w:val="28"/>
                <w:szCs w:val="28"/>
              </w:rPr>
            </w:pPr>
            <w:r>
              <w:rPr>
                <w:rFonts w:hint="eastAsia" w:ascii="仿宋" w:hAnsi="仿宋" w:eastAsia="仿宋"/>
                <w:sz w:val="28"/>
                <w:szCs w:val="28"/>
              </w:rPr>
              <w:t>市自然</w:t>
            </w:r>
            <w:r>
              <w:rPr>
                <w:rFonts w:ascii="仿宋" w:hAnsi="仿宋" w:eastAsia="仿宋"/>
                <w:sz w:val="28"/>
                <w:szCs w:val="28"/>
              </w:rPr>
              <w:t>资源和规划局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住房和城乡建设局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城市</w:t>
            </w:r>
            <w:r>
              <w:rPr>
                <w:rFonts w:hint="eastAsia" w:ascii="仿宋" w:hAnsi="仿宋" w:eastAsia="仿宋"/>
                <w:sz w:val="28"/>
                <w:szCs w:val="28"/>
              </w:rPr>
              <w:t>管理局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公安局</w:t>
            </w:r>
          </w:p>
          <w:p>
            <w:pPr>
              <w:snapToGrid w:val="0"/>
              <w:contextualSpacing/>
              <w:jc w:val="center"/>
              <w:rPr>
                <w:rFonts w:ascii="仿宋" w:hAnsi="仿宋" w:eastAsia="仿宋"/>
                <w:sz w:val="28"/>
                <w:szCs w:val="28"/>
              </w:rPr>
            </w:pPr>
            <w:r>
              <w:rPr>
                <w:rFonts w:hint="eastAsia" w:ascii="仿宋" w:hAnsi="仿宋" w:eastAsia="仿宋"/>
                <w:sz w:val="28"/>
                <w:szCs w:val="28"/>
              </w:rPr>
              <w:t>各区市人民</w:t>
            </w:r>
            <w:r>
              <w:rPr>
                <w:rFonts w:ascii="仿宋" w:hAnsi="仿宋" w:eastAsia="仿宋"/>
                <w:sz w:val="28"/>
                <w:szCs w:val="28"/>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Merge w:val="restart"/>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6</w:t>
            </w:r>
          </w:p>
        </w:tc>
        <w:tc>
          <w:tcPr>
            <w:tcW w:w="2551" w:type="dxa"/>
            <w:vMerge w:val="restart"/>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加强城市公共交通设施用地保障</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组织编制实施国土空间规划时，应合理确定城市公共交通基础设施的用地规模和布局，对于规划确定的公共交通基础设施用地，不得随意修改和变更与城市公共交通相关内容。对于符合《划拨用地目录》规定的，可采取划拨方式供地；不符合的，应依法以有偿方式供地。</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市自然资源和规划局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jc w:val="center"/>
              <w:rPr>
                <w:rFonts w:ascii="Times New Roman" w:hAnsi="Times New Roman" w:eastAsia="仿宋" w:cs="Times New Roman"/>
                <w:sz w:val="28"/>
                <w:szCs w:val="28"/>
              </w:rPr>
            </w:pP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研究支持利用城区立交、快速路高架桥下等空间优先满足城市公共交通停车需求。</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自然资源和规划局</w:t>
            </w:r>
          </w:p>
          <w:p>
            <w:pPr>
              <w:snapToGrid w:val="0"/>
              <w:contextualSpacing/>
              <w:jc w:val="center"/>
              <w:rPr>
                <w:rFonts w:ascii="仿宋" w:hAnsi="仿宋" w:eastAsia="仿宋"/>
                <w:sz w:val="28"/>
                <w:szCs w:val="28"/>
              </w:rPr>
            </w:pPr>
            <w:r>
              <w:rPr>
                <w:rFonts w:hint="eastAsia" w:ascii="仿宋" w:hAnsi="仿宋" w:eastAsia="仿宋"/>
                <w:sz w:val="28"/>
                <w:szCs w:val="28"/>
              </w:rPr>
              <w:t>市住房和城乡</w:t>
            </w:r>
            <w:r>
              <w:rPr>
                <w:rFonts w:ascii="仿宋" w:hAnsi="仿宋" w:eastAsia="仿宋"/>
                <w:sz w:val="28"/>
                <w:szCs w:val="28"/>
              </w:rPr>
              <w:t>建设局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城市管理局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w:t>
            </w:r>
            <w:r>
              <w:rPr>
                <w:rFonts w:hint="eastAsia" w:ascii="仿宋" w:hAnsi="仿宋" w:eastAsia="仿宋"/>
                <w:sz w:val="28"/>
                <w:szCs w:val="28"/>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7</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推进城市公共交通设施用地综合开发</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鼓励以TOD为导向的可持续发展模式。按照节约用地原则，改变公共交通场站功能单一、平面布局的现状，发挥场站客流集疏运特点，结合城市更新、老旧小区改造等，推进城市公共交通设施用地综合开发，提高公交场站公共服务功能和城市更新活力。对新建城市公共交通设施用地的地上、地下空间，支持市场化原则实施土地综合开发；对现有城市公共交通设施用地，支持在符合规划且不改变用途的前提下进行综合开发。研究制定公共交通场站用地综合开发程序、办法，解决实际操作中涉及的土地性质变更、用地出让条件设定、招拍挂程序、土地容积率等具体问题。鼓励社会资本依法依规参与城市公共交通场站综合开发。</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交通运输局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自然资源和规划局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住房和城乡建设局</w:t>
            </w:r>
          </w:p>
          <w:p>
            <w:pPr>
              <w:snapToGrid w:val="0"/>
              <w:contextualSpacing/>
              <w:jc w:val="center"/>
              <w:rPr>
                <w:rFonts w:ascii="仿宋" w:hAnsi="仿宋" w:eastAsia="仿宋"/>
                <w:sz w:val="28"/>
                <w:szCs w:val="28"/>
              </w:rPr>
            </w:pPr>
            <w:r>
              <w:rPr>
                <w:rFonts w:hint="eastAsia" w:ascii="仿宋" w:hAnsi="仿宋" w:eastAsia="仿宋"/>
                <w:sz w:val="28"/>
                <w:szCs w:val="28"/>
              </w:rPr>
              <w:t>市国资委</w:t>
            </w:r>
          </w:p>
          <w:p>
            <w:pPr>
              <w:snapToGrid w:val="0"/>
              <w:contextualSpacing/>
              <w:jc w:val="center"/>
              <w:rPr>
                <w:rFonts w:ascii="仿宋" w:hAnsi="仿宋" w:eastAsia="仿宋"/>
                <w:sz w:val="28"/>
                <w:szCs w:val="28"/>
              </w:rPr>
            </w:pPr>
            <w:r>
              <w:rPr>
                <w:rFonts w:hint="eastAsia" w:ascii="仿宋" w:hAnsi="仿宋" w:eastAsia="仿宋"/>
                <w:sz w:val="28"/>
                <w:szCs w:val="28"/>
              </w:rPr>
              <w:t>市财政局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Merge w:val="restart"/>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8</w:t>
            </w:r>
          </w:p>
        </w:tc>
        <w:tc>
          <w:tcPr>
            <w:tcW w:w="2551" w:type="dxa"/>
            <w:vMerge w:val="restart"/>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持续推进新能源公交车应用与配套设施建设</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除保留必要应急救援车辆外，新增和更新城市公共汽电车全部为新能源车辆。优化车型结构，适当增加小微型新能源公交车型，打通城市出行“最后一公里”。</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市国资委</w:t>
            </w:r>
          </w:p>
          <w:p>
            <w:pPr>
              <w:snapToGrid w:val="0"/>
              <w:contextualSpacing/>
              <w:jc w:val="center"/>
              <w:rPr>
                <w:rFonts w:ascii="仿宋" w:hAnsi="仿宋" w:eastAsia="仿宋"/>
                <w:sz w:val="28"/>
                <w:szCs w:val="28"/>
              </w:rPr>
            </w:pPr>
            <w:r>
              <w:rPr>
                <w:rFonts w:hint="eastAsia" w:ascii="仿宋" w:hAnsi="仿宋" w:eastAsia="仿宋"/>
                <w:sz w:val="28"/>
                <w:szCs w:val="28"/>
              </w:rPr>
              <w:t>市财政局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jc w:val="center"/>
              <w:rPr>
                <w:rFonts w:ascii="Times New Roman" w:hAnsi="Times New Roman" w:eastAsia="仿宋" w:cs="Times New Roman"/>
                <w:sz w:val="28"/>
                <w:szCs w:val="28"/>
              </w:rPr>
            </w:pP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优先布局和建设城市公共交通充（换）电站、充电桩等设施，支持公交企业利用现有场地和设施，加快推进充电设施项目建设，形成适度超前、布局合理的充电设施服务体系；加强对退役动力蓄电池的回收和处置管理。</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市住房</w:t>
            </w:r>
            <w:r>
              <w:rPr>
                <w:rFonts w:ascii="仿宋" w:hAnsi="仿宋" w:eastAsia="仿宋"/>
                <w:sz w:val="28"/>
                <w:szCs w:val="28"/>
              </w:rPr>
              <w:t>和</w:t>
            </w:r>
            <w:r>
              <w:rPr>
                <w:rFonts w:hint="eastAsia" w:ascii="仿宋" w:hAnsi="仿宋" w:eastAsia="仿宋"/>
                <w:sz w:val="28"/>
                <w:szCs w:val="28"/>
              </w:rPr>
              <w:t>城乡</w:t>
            </w:r>
            <w:r>
              <w:rPr>
                <w:rFonts w:ascii="仿宋" w:hAnsi="仿宋" w:eastAsia="仿宋"/>
                <w:sz w:val="28"/>
                <w:szCs w:val="28"/>
              </w:rPr>
              <w:t>建设局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城市管理局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工业和信息化局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商务局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jc w:val="center"/>
              <w:rPr>
                <w:rFonts w:ascii="Times New Roman" w:hAnsi="Times New Roman" w:eastAsia="仿宋" w:cs="Times New Roman"/>
                <w:sz w:val="28"/>
                <w:szCs w:val="28"/>
              </w:rPr>
            </w:pP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积极创造</w:t>
            </w:r>
            <w:r>
              <w:rPr>
                <w:rFonts w:ascii="仿宋" w:hAnsi="仿宋" w:eastAsia="仿宋"/>
                <w:sz w:val="28"/>
                <w:szCs w:val="28"/>
              </w:rPr>
              <w:t>条件</w:t>
            </w:r>
            <w:r>
              <w:rPr>
                <w:rFonts w:hint="eastAsia" w:ascii="仿宋" w:hAnsi="仿宋" w:eastAsia="仿宋"/>
                <w:sz w:val="28"/>
                <w:szCs w:val="28"/>
              </w:rPr>
              <w:t>推广氢燃料电池公交车应用，加快加氢站设施建设。</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市国资委</w:t>
            </w:r>
          </w:p>
          <w:p>
            <w:pPr>
              <w:snapToGrid w:val="0"/>
              <w:contextualSpacing/>
              <w:jc w:val="center"/>
              <w:rPr>
                <w:rFonts w:ascii="仿宋" w:hAnsi="仿宋" w:eastAsia="仿宋"/>
                <w:sz w:val="28"/>
                <w:szCs w:val="28"/>
              </w:rPr>
            </w:pPr>
            <w:r>
              <w:rPr>
                <w:rFonts w:hint="eastAsia" w:ascii="仿宋" w:hAnsi="仿宋" w:eastAsia="仿宋"/>
                <w:sz w:val="28"/>
                <w:szCs w:val="28"/>
              </w:rPr>
              <w:t>市财政局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工业和信息化局</w:t>
            </w:r>
          </w:p>
          <w:p>
            <w:pPr>
              <w:snapToGrid w:val="0"/>
              <w:contextualSpacing/>
              <w:jc w:val="center"/>
              <w:rPr>
                <w:rFonts w:ascii="仿宋" w:hAnsi="仿宋" w:eastAsia="仿宋"/>
                <w:sz w:val="28"/>
                <w:szCs w:val="28"/>
              </w:rPr>
            </w:pPr>
            <w:r>
              <w:rPr>
                <w:rFonts w:hint="eastAsia" w:ascii="仿宋" w:hAnsi="仿宋" w:eastAsia="仿宋"/>
                <w:sz w:val="28"/>
                <w:szCs w:val="28"/>
              </w:rPr>
              <w:t>各区市人民政府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9</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健全城市公共交通精准财政补贴机制</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将城市公共交通发展资金纳入本级财政预算体系，规范成本规制和财政补贴机制；建立健全可量化的城市公共交通成本核算及绩效评价体系，提升管理决策的科学性和财政补贴合理性。对实行低票价、减免票、承担政府指令性任务等形成的政策性亏损，对企业在技术改造、节能减排、经营冷僻线路等方面的投入，当地财政要给予适当补贴补偿。</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财政局</w:t>
            </w:r>
          </w:p>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市国资委</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10</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完善城市公共交通发展保障机制</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统筹城市维护建设税、城市基础设施建设配套费、土地出让金收益用于城市公共交通基础设施建设。政府财政投入的资金应重点用于公共交通规划确定的大容量公共交通、综合交通枢纽、公交场站、公交停车站等设施的建设，以及车辆的更新和设施维护，</w:t>
            </w:r>
            <w:r>
              <w:rPr>
                <w:rFonts w:ascii="仿宋" w:hAnsi="仿宋" w:eastAsia="仿宋"/>
                <w:sz w:val="28"/>
                <w:szCs w:val="28"/>
              </w:rPr>
              <w:t>加大城市公交信息化建设的资金保障力度</w:t>
            </w:r>
            <w:r>
              <w:rPr>
                <w:rFonts w:hint="eastAsia" w:ascii="仿宋" w:hAnsi="仿宋" w:eastAsia="仿宋"/>
                <w:sz w:val="28"/>
                <w:szCs w:val="28"/>
              </w:rPr>
              <w:t>。</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市财政局</w:t>
            </w:r>
          </w:p>
          <w:p>
            <w:pPr>
              <w:snapToGrid w:val="0"/>
              <w:contextualSpacing/>
              <w:jc w:val="center"/>
              <w:rPr>
                <w:rFonts w:ascii="仿宋" w:hAnsi="仿宋" w:eastAsia="仿宋"/>
                <w:sz w:val="28"/>
                <w:szCs w:val="28"/>
              </w:rPr>
            </w:pPr>
            <w:r>
              <w:rPr>
                <w:rFonts w:hint="eastAsia" w:ascii="仿宋" w:hAnsi="仿宋" w:eastAsia="仿宋"/>
                <w:sz w:val="28"/>
                <w:szCs w:val="28"/>
              </w:rPr>
              <w:t>市国资委</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5"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11</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落实国家关于城市公共交通有关税费优惠政策</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按规定对城市公交企业购置的公共汽电车辆免征车辆购置税；依法免征城市公共交通车辆车船税；按照国家规定免征城市公共交通公交场站城镇土地使用税。城市公交企业取得的政府购买服务费用等财政补贴收入，符合条件的不予征收增值税。鼓励企事业单位、社会团体和个人以慈善形式支持公交发展，对于以捐赠形式参与城市公共交通多元化发展的社会资金，依法依规给予适当的税收优惠。对城市公共交通基础设施按规定免征城市基础设施配套费、城市道路占用挖掘费、城市绿化补偿费（开口费）、市政雨污水接驳费等。</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市税务局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Merge w:val="restart"/>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12</w:t>
            </w:r>
          </w:p>
        </w:tc>
        <w:tc>
          <w:tcPr>
            <w:tcW w:w="2551" w:type="dxa"/>
            <w:vMerge w:val="restart"/>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加快公交专用道建设</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进一步落实城市公共交通路权优先，科学设置公共交通优先车道、专用车道、路口专用线、单向优先专用线等，调整公共交通车辆与其他社会车辆的路权使用分配关系，提高公共交通车辆运营速度和道路资源利用率。</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公安局</w:t>
            </w:r>
          </w:p>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各区市人民政府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snapToGrid w:val="0"/>
              <w:contextualSpacing/>
              <w:jc w:val="center"/>
              <w:rPr>
                <w:rFonts w:ascii="Times New Roman" w:hAnsi="Times New Roman" w:eastAsia="仿宋" w:cs="Times New Roman"/>
                <w:sz w:val="28"/>
                <w:szCs w:val="28"/>
              </w:rPr>
            </w:pP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现有单向3车道及以上的城市道路、有条件的主干道，以及新、改建符合条件的城市道路要建设公共交通专用（优先）道及相关设施设备。</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市公安局</w:t>
            </w:r>
          </w:p>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住房和城乡建设局</w:t>
            </w:r>
          </w:p>
          <w:p>
            <w:pPr>
              <w:snapToGrid w:val="0"/>
              <w:contextualSpacing/>
              <w:jc w:val="center"/>
              <w:rPr>
                <w:rFonts w:ascii="仿宋" w:hAnsi="仿宋" w:eastAsia="仿宋"/>
                <w:sz w:val="28"/>
                <w:szCs w:val="28"/>
              </w:rPr>
            </w:pPr>
            <w:r>
              <w:rPr>
                <w:rFonts w:hint="eastAsia" w:ascii="仿宋" w:hAnsi="仿宋" w:eastAsia="仿宋"/>
                <w:sz w:val="28"/>
                <w:szCs w:val="28"/>
              </w:rPr>
              <w:t>市城市</w:t>
            </w:r>
            <w:r>
              <w:rPr>
                <w:rFonts w:ascii="仿宋" w:hAnsi="仿宋" w:eastAsia="仿宋"/>
                <w:sz w:val="28"/>
                <w:szCs w:val="28"/>
              </w:rPr>
              <w:t>管理局</w:t>
            </w:r>
          </w:p>
          <w:p>
            <w:pPr>
              <w:snapToGrid w:val="0"/>
              <w:contextualSpacing/>
              <w:jc w:val="center"/>
              <w:rPr>
                <w:rFonts w:ascii="仿宋" w:hAnsi="仿宋" w:eastAsia="仿宋"/>
                <w:sz w:val="28"/>
                <w:szCs w:val="28"/>
              </w:rPr>
            </w:pPr>
            <w:r>
              <w:rPr>
                <w:rFonts w:ascii="仿宋" w:hAnsi="仿宋" w:eastAsia="仿宋"/>
                <w:sz w:val="28"/>
                <w:szCs w:val="28"/>
              </w:rPr>
              <w:t>各区市人民政府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13</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严格公交专用道使用监管</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充分利用监控设备等信息化手段，加强对公交专用道的监控，严格查处不按规定使用公交专用道、占道停车等交通违法行为，保障公交车辆通行安全和通行效率。</w:t>
            </w:r>
          </w:p>
        </w:tc>
        <w:tc>
          <w:tcPr>
            <w:tcW w:w="2835" w:type="dxa"/>
            <w:vAlign w:val="center"/>
          </w:tcPr>
          <w:p>
            <w:pPr>
              <w:snapToGrid w:val="0"/>
              <w:contextualSpacing/>
              <w:jc w:val="center"/>
              <w:rPr>
                <w:rFonts w:ascii="仿宋" w:hAnsi="仿宋" w:eastAsia="仿宋"/>
                <w:sz w:val="28"/>
                <w:szCs w:val="28"/>
              </w:rPr>
            </w:pPr>
            <w:r>
              <w:rPr>
                <w:rFonts w:ascii="仿宋" w:hAnsi="仿宋" w:eastAsia="仿宋"/>
                <w:sz w:val="28"/>
                <w:szCs w:val="28"/>
              </w:rPr>
              <w:t>市公安局</w:t>
            </w:r>
          </w:p>
          <w:p>
            <w:pPr>
              <w:snapToGrid w:val="0"/>
              <w:contextualSpacing/>
              <w:jc w:val="center"/>
              <w:rPr>
                <w:rFonts w:ascii="仿宋" w:hAnsi="仿宋" w:eastAsia="仿宋"/>
                <w:sz w:val="28"/>
                <w:szCs w:val="28"/>
              </w:rPr>
            </w:pPr>
            <w:r>
              <w:rPr>
                <w:rFonts w:ascii="仿宋" w:hAnsi="仿宋" w:eastAsia="仿宋"/>
                <w:sz w:val="28"/>
                <w:szCs w:val="28"/>
              </w:rPr>
              <w:t>各区市人民政府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14</w:t>
            </w:r>
          </w:p>
        </w:tc>
        <w:tc>
          <w:tcPr>
            <w:tcW w:w="2551" w:type="dxa"/>
            <w:vAlign w:val="center"/>
          </w:tcPr>
          <w:p>
            <w:pPr>
              <w:snapToGrid w:val="0"/>
              <w:spacing w:after="1560" w:afterLines="50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科学设置公交优先通行信号系统</w:t>
            </w:r>
          </w:p>
        </w:tc>
        <w:tc>
          <w:tcPr>
            <w:tcW w:w="8363" w:type="dxa"/>
            <w:vAlign w:val="center"/>
          </w:tcPr>
          <w:p>
            <w:pPr>
              <w:snapToGrid w:val="0"/>
              <w:spacing w:after="1560" w:afterLines="500"/>
              <w:contextualSpacing/>
              <w:rPr>
                <w:rFonts w:ascii="仿宋" w:hAnsi="仿宋" w:eastAsia="仿宋"/>
                <w:sz w:val="28"/>
                <w:szCs w:val="28"/>
              </w:rPr>
            </w:pPr>
            <w:r>
              <w:rPr>
                <w:rFonts w:hint="eastAsia" w:ascii="仿宋" w:hAnsi="仿宋" w:eastAsia="仿宋"/>
                <w:sz w:val="28"/>
                <w:szCs w:val="28"/>
              </w:rPr>
              <w:t>大力推进公交信号优先，逐步扩大公交信号优先范围，保证公交车辆通行优先权，逐步形成公交车辆优先通行网络，切实提高公交车辆通行速度和准点率。</w:t>
            </w:r>
          </w:p>
        </w:tc>
        <w:tc>
          <w:tcPr>
            <w:tcW w:w="2835" w:type="dxa"/>
            <w:vAlign w:val="center"/>
          </w:tcPr>
          <w:p>
            <w:pPr>
              <w:snapToGrid w:val="0"/>
              <w:spacing w:after="1560" w:afterLines="500"/>
              <w:contextualSpacing/>
              <w:jc w:val="center"/>
              <w:rPr>
                <w:rFonts w:ascii="仿宋" w:hAnsi="仿宋" w:eastAsia="仿宋"/>
                <w:sz w:val="28"/>
                <w:szCs w:val="28"/>
              </w:rPr>
            </w:pPr>
            <w:r>
              <w:rPr>
                <w:rFonts w:ascii="仿宋" w:hAnsi="仿宋" w:eastAsia="仿宋"/>
                <w:sz w:val="28"/>
                <w:szCs w:val="28"/>
              </w:rPr>
              <w:t>市公安局</w:t>
            </w:r>
          </w:p>
          <w:p>
            <w:pPr>
              <w:snapToGrid w:val="0"/>
              <w:spacing w:after="1560" w:afterLines="500"/>
              <w:contextualSpacing/>
              <w:jc w:val="center"/>
              <w:rPr>
                <w:rFonts w:ascii="仿宋" w:hAnsi="仿宋" w:eastAsia="仿宋"/>
                <w:sz w:val="28"/>
                <w:szCs w:val="28"/>
              </w:rPr>
            </w:pPr>
            <w:r>
              <w:rPr>
                <w:rFonts w:ascii="仿宋" w:hAnsi="仿宋" w:eastAsia="仿宋"/>
                <w:sz w:val="28"/>
                <w:szCs w:val="28"/>
              </w:rPr>
              <w:t>各区市人民政府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88" w:type="dxa"/>
            <w:vMerge w:val="restart"/>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15</w:t>
            </w:r>
          </w:p>
        </w:tc>
        <w:tc>
          <w:tcPr>
            <w:tcW w:w="2551" w:type="dxa"/>
            <w:vMerge w:val="restart"/>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加强公共交通运营环境治理</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加强对公共交通站点前后30米区域内的停车管理，依法查处社会车辆占用中途停靠站，妨碍公共交通车辆正常通行的违法行为。</w:t>
            </w:r>
          </w:p>
        </w:tc>
        <w:tc>
          <w:tcPr>
            <w:tcW w:w="2835" w:type="dxa"/>
            <w:vAlign w:val="center"/>
          </w:tcPr>
          <w:p>
            <w:pPr>
              <w:snapToGrid w:val="0"/>
              <w:contextualSpacing/>
              <w:jc w:val="center"/>
              <w:rPr>
                <w:rFonts w:ascii="仿宋" w:hAnsi="仿宋" w:eastAsia="仿宋"/>
                <w:sz w:val="28"/>
                <w:szCs w:val="28"/>
              </w:rPr>
            </w:pPr>
            <w:r>
              <w:rPr>
                <w:rFonts w:ascii="仿宋" w:hAnsi="仿宋" w:eastAsia="仿宋"/>
                <w:sz w:val="28"/>
                <w:szCs w:val="28"/>
              </w:rPr>
              <w:t>市公安局</w:t>
            </w:r>
          </w:p>
          <w:p>
            <w:pPr>
              <w:snapToGrid w:val="0"/>
              <w:contextualSpacing/>
              <w:jc w:val="center"/>
              <w:rPr>
                <w:rFonts w:ascii="仿宋" w:hAnsi="仿宋" w:eastAsia="仿宋"/>
                <w:sz w:val="28"/>
                <w:szCs w:val="28"/>
              </w:rPr>
            </w:pPr>
            <w:r>
              <w:rPr>
                <w:rFonts w:ascii="仿宋" w:hAnsi="仿宋" w:eastAsia="仿宋"/>
                <w:sz w:val="28"/>
                <w:szCs w:val="28"/>
              </w:rPr>
              <w:t>各区市人民政府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snapToGrid w:val="0"/>
              <w:contextualSpacing/>
              <w:jc w:val="center"/>
              <w:rPr>
                <w:rFonts w:ascii="Times New Roman" w:hAnsi="Times New Roman" w:eastAsia="仿宋" w:cs="Times New Roman"/>
                <w:sz w:val="28"/>
                <w:szCs w:val="28"/>
              </w:rPr>
            </w:pPr>
          </w:p>
        </w:tc>
        <w:tc>
          <w:tcPr>
            <w:tcW w:w="8363" w:type="dxa"/>
            <w:vAlign w:val="center"/>
          </w:tcPr>
          <w:p>
            <w:pPr>
              <w:snapToGrid w:val="0"/>
              <w:spacing w:before="312" w:beforeLines="100" w:after="156" w:afterLines="50"/>
              <w:contextualSpacing/>
              <w:rPr>
                <w:rFonts w:ascii="仿宋" w:hAnsi="仿宋" w:eastAsia="仿宋"/>
                <w:sz w:val="28"/>
                <w:szCs w:val="28"/>
              </w:rPr>
            </w:pPr>
            <w:r>
              <w:rPr>
                <w:rFonts w:hint="eastAsia" w:ascii="仿宋" w:hAnsi="仿宋" w:eastAsia="仿宋"/>
                <w:sz w:val="28"/>
                <w:szCs w:val="28"/>
              </w:rPr>
              <w:t>加大对破坏公共交通基础设施、非法营运、危害公共交通安全等行为的惩治</w:t>
            </w:r>
            <w:r>
              <w:rPr>
                <w:rFonts w:ascii="仿宋" w:hAnsi="仿宋" w:eastAsia="仿宋"/>
                <w:sz w:val="28"/>
                <w:szCs w:val="28"/>
              </w:rPr>
              <w:t>力度</w:t>
            </w:r>
            <w:r>
              <w:rPr>
                <w:rFonts w:hint="eastAsia" w:ascii="仿宋" w:hAnsi="仿宋" w:eastAsia="仿宋"/>
                <w:sz w:val="28"/>
                <w:szCs w:val="28"/>
              </w:rPr>
              <w:t>。</w:t>
            </w:r>
          </w:p>
        </w:tc>
        <w:tc>
          <w:tcPr>
            <w:tcW w:w="2835" w:type="dxa"/>
            <w:vAlign w:val="center"/>
          </w:tcPr>
          <w:p>
            <w:pPr>
              <w:snapToGrid w:val="0"/>
              <w:spacing w:after="780" w:afterLines="250"/>
              <w:contextualSpacing/>
              <w:jc w:val="center"/>
              <w:rPr>
                <w:rFonts w:ascii="仿宋" w:hAnsi="仿宋" w:eastAsia="仿宋"/>
                <w:sz w:val="28"/>
                <w:szCs w:val="28"/>
              </w:rPr>
            </w:pPr>
            <w:r>
              <w:rPr>
                <w:rFonts w:ascii="仿宋" w:hAnsi="仿宋" w:eastAsia="仿宋"/>
                <w:sz w:val="28"/>
                <w:szCs w:val="28"/>
              </w:rPr>
              <w:t>市公安局</w:t>
            </w:r>
          </w:p>
          <w:p>
            <w:pPr>
              <w:snapToGrid w:val="0"/>
              <w:spacing w:after="780" w:afterLines="250"/>
              <w:contextualSpacing/>
              <w:jc w:val="center"/>
              <w:rPr>
                <w:rFonts w:ascii="仿宋" w:hAnsi="仿宋" w:eastAsia="仿宋"/>
                <w:sz w:val="28"/>
                <w:szCs w:val="28"/>
              </w:rPr>
            </w:pPr>
            <w:r>
              <w:rPr>
                <w:rFonts w:ascii="仿宋" w:hAnsi="仿宋" w:eastAsia="仿宋"/>
                <w:sz w:val="28"/>
                <w:szCs w:val="28"/>
              </w:rPr>
              <w:t>市交通运输局</w:t>
            </w:r>
          </w:p>
          <w:p>
            <w:pPr>
              <w:snapToGrid w:val="0"/>
              <w:spacing w:after="780" w:afterLines="250"/>
              <w:contextualSpacing/>
              <w:jc w:val="center"/>
              <w:rPr>
                <w:rFonts w:ascii="仿宋" w:hAnsi="仿宋" w:eastAsia="仿宋"/>
                <w:sz w:val="28"/>
                <w:szCs w:val="28"/>
              </w:rPr>
            </w:pPr>
            <w:r>
              <w:rPr>
                <w:rFonts w:ascii="仿宋" w:hAnsi="仿宋" w:eastAsia="仿宋"/>
                <w:sz w:val="28"/>
                <w:szCs w:val="28"/>
              </w:rPr>
              <w:t>各区市人民政府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snapToGrid w:val="0"/>
              <w:contextualSpacing/>
              <w:jc w:val="center"/>
              <w:rPr>
                <w:rFonts w:ascii="Times New Roman" w:hAnsi="Times New Roman" w:eastAsia="仿宋" w:cs="Times New Roman"/>
                <w:sz w:val="28"/>
                <w:szCs w:val="28"/>
              </w:rPr>
            </w:pP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及时消除道路</w:t>
            </w:r>
            <w:r>
              <w:rPr>
                <w:rFonts w:ascii="仿宋" w:hAnsi="仿宋" w:eastAsia="仿宋"/>
                <w:sz w:val="28"/>
                <w:szCs w:val="28"/>
              </w:rPr>
              <w:t>旁树木遮挡行车</w:t>
            </w:r>
            <w:r>
              <w:rPr>
                <w:rFonts w:hint="eastAsia" w:ascii="仿宋" w:hAnsi="仿宋" w:eastAsia="仿宋"/>
                <w:sz w:val="28"/>
                <w:szCs w:val="28"/>
              </w:rPr>
              <w:t>视线</w:t>
            </w:r>
            <w:r>
              <w:rPr>
                <w:rFonts w:ascii="仿宋" w:hAnsi="仿宋" w:eastAsia="仿宋"/>
                <w:sz w:val="28"/>
                <w:szCs w:val="28"/>
              </w:rPr>
              <w:t>、</w:t>
            </w:r>
            <w:r>
              <w:rPr>
                <w:rFonts w:hint="eastAsia" w:ascii="仿宋" w:hAnsi="仿宋" w:eastAsia="仿宋"/>
                <w:sz w:val="28"/>
                <w:szCs w:val="28"/>
              </w:rPr>
              <w:t>站点</w:t>
            </w:r>
            <w:r>
              <w:rPr>
                <w:rFonts w:ascii="仿宋" w:hAnsi="仿宋" w:eastAsia="仿宋"/>
                <w:sz w:val="28"/>
                <w:szCs w:val="28"/>
              </w:rPr>
              <w:t>范围内</w:t>
            </w:r>
            <w:r>
              <w:rPr>
                <w:rFonts w:hint="eastAsia" w:ascii="仿宋" w:hAnsi="仿宋" w:eastAsia="仿宋"/>
                <w:sz w:val="28"/>
                <w:szCs w:val="28"/>
              </w:rPr>
              <w:t>不按规定</w:t>
            </w:r>
            <w:r>
              <w:rPr>
                <w:rFonts w:ascii="仿宋" w:hAnsi="仿宋" w:eastAsia="仿宋"/>
                <w:sz w:val="28"/>
                <w:szCs w:val="28"/>
              </w:rPr>
              <w:t>施工</w:t>
            </w:r>
            <w:r>
              <w:rPr>
                <w:rFonts w:hint="eastAsia" w:ascii="仿宋" w:hAnsi="仿宋" w:eastAsia="仿宋"/>
                <w:sz w:val="28"/>
                <w:szCs w:val="28"/>
              </w:rPr>
              <w:t>开挖</w:t>
            </w:r>
            <w:r>
              <w:rPr>
                <w:rFonts w:ascii="仿宋" w:hAnsi="仿宋" w:eastAsia="仿宋"/>
                <w:sz w:val="28"/>
                <w:szCs w:val="28"/>
              </w:rPr>
              <w:t>等通行隐患，</w:t>
            </w:r>
            <w:r>
              <w:rPr>
                <w:rFonts w:hint="eastAsia" w:ascii="仿宋" w:hAnsi="仿宋" w:eastAsia="仿宋"/>
                <w:sz w:val="28"/>
                <w:szCs w:val="28"/>
              </w:rPr>
              <w:t>确保</w:t>
            </w:r>
            <w:r>
              <w:rPr>
                <w:rFonts w:ascii="仿宋" w:hAnsi="仿宋" w:eastAsia="仿宋"/>
                <w:sz w:val="28"/>
                <w:szCs w:val="28"/>
              </w:rPr>
              <w:t>公交车辆通行安全。</w:t>
            </w:r>
          </w:p>
        </w:tc>
        <w:tc>
          <w:tcPr>
            <w:tcW w:w="2835" w:type="dxa"/>
            <w:vAlign w:val="center"/>
          </w:tcPr>
          <w:p>
            <w:pPr>
              <w:snapToGrid w:val="0"/>
              <w:contextualSpacing/>
              <w:jc w:val="center"/>
              <w:rPr>
                <w:rFonts w:ascii="仿宋" w:hAnsi="仿宋" w:eastAsia="仿宋"/>
                <w:sz w:val="28"/>
                <w:szCs w:val="28"/>
              </w:rPr>
            </w:pPr>
            <w:r>
              <w:rPr>
                <w:rFonts w:ascii="仿宋" w:hAnsi="仿宋" w:eastAsia="仿宋"/>
                <w:sz w:val="28"/>
                <w:szCs w:val="28"/>
              </w:rPr>
              <w:t>市城市管理局</w:t>
            </w:r>
          </w:p>
          <w:p>
            <w:pPr>
              <w:snapToGrid w:val="0"/>
              <w:contextualSpacing/>
              <w:jc w:val="center"/>
              <w:rPr>
                <w:rFonts w:ascii="仿宋" w:hAnsi="仿宋" w:eastAsia="仿宋"/>
                <w:sz w:val="28"/>
                <w:szCs w:val="28"/>
              </w:rPr>
            </w:pPr>
            <w:r>
              <w:rPr>
                <w:rFonts w:ascii="仿宋" w:hAnsi="仿宋" w:eastAsia="仿宋"/>
                <w:sz w:val="28"/>
                <w:szCs w:val="28"/>
              </w:rPr>
              <w:t>各区市人民政府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Merge w:val="restart"/>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16</w:t>
            </w:r>
          </w:p>
        </w:tc>
        <w:tc>
          <w:tcPr>
            <w:tcW w:w="2551" w:type="dxa"/>
            <w:vMerge w:val="restart"/>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完善城市公共交通服务体系</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2023年出台《城市公交线路优化技术导则》。</w:t>
            </w:r>
          </w:p>
        </w:tc>
        <w:tc>
          <w:tcPr>
            <w:tcW w:w="2835" w:type="dxa"/>
            <w:vAlign w:val="center"/>
          </w:tcPr>
          <w:p>
            <w:pPr>
              <w:snapToGrid w:val="0"/>
              <w:contextualSpacing/>
              <w:jc w:val="center"/>
              <w:rPr>
                <w:rFonts w:ascii="仿宋" w:hAnsi="仿宋" w:eastAsia="仿宋"/>
                <w:sz w:val="28"/>
                <w:szCs w:val="28"/>
              </w:rPr>
            </w:pPr>
            <w:r>
              <w:rPr>
                <w:rFonts w:ascii="仿宋" w:hAnsi="仿宋" w:eastAsia="仿宋"/>
                <w:sz w:val="28"/>
                <w:szCs w:val="28"/>
              </w:rPr>
              <w:t>市交通运输局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snapToGrid w:val="0"/>
              <w:contextualSpacing/>
              <w:jc w:val="center"/>
              <w:rPr>
                <w:rFonts w:ascii="Times New Roman" w:hAnsi="Times New Roman" w:eastAsia="仿宋" w:cs="Times New Roman"/>
                <w:sz w:val="28"/>
                <w:szCs w:val="28"/>
              </w:rPr>
            </w:pP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鼓励技术创新、模式创新，研究探索BRT等</w:t>
            </w:r>
            <w:r>
              <w:rPr>
                <w:rFonts w:ascii="仿宋" w:hAnsi="仿宋" w:eastAsia="仿宋"/>
                <w:sz w:val="28"/>
                <w:szCs w:val="28"/>
              </w:rPr>
              <w:t>大运量、中长距离</w:t>
            </w:r>
            <w:r>
              <w:rPr>
                <w:rFonts w:hint="eastAsia" w:ascii="仿宋" w:hAnsi="仿宋" w:eastAsia="仿宋"/>
                <w:sz w:val="28"/>
                <w:szCs w:val="28"/>
              </w:rPr>
              <w:t>的</w:t>
            </w:r>
            <w:r>
              <w:rPr>
                <w:rFonts w:ascii="仿宋" w:hAnsi="仿宋" w:eastAsia="仿宋"/>
                <w:sz w:val="28"/>
                <w:szCs w:val="28"/>
              </w:rPr>
              <w:t>公交</w:t>
            </w:r>
            <w:r>
              <w:rPr>
                <w:rFonts w:hint="eastAsia" w:ascii="仿宋" w:hAnsi="仿宋" w:eastAsia="仿宋"/>
                <w:sz w:val="28"/>
                <w:szCs w:val="28"/>
              </w:rPr>
              <w:t>方式</w:t>
            </w:r>
            <w:r>
              <w:rPr>
                <w:rFonts w:ascii="仿宋" w:hAnsi="仿宋" w:eastAsia="仿宋"/>
                <w:sz w:val="28"/>
                <w:szCs w:val="28"/>
              </w:rPr>
              <w:t>，</w:t>
            </w:r>
            <w:r>
              <w:rPr>
                <w:rFonts w:hint="eastAsia" w:ascii="仿宋" w:hAnsi="仿宋" w:eastAsia="仿宋"/>
                <w:sz w:val="28"/>
                <w:szCs w:val="28"/>
              </w:rPr>
              <w:t>支持发展定制公交</w:t>
            </w:r>
            <w:r>
              <w:rPr>
                <w:rFonts w:ascii="仿宋" w:hAnsi="仿宋" w:eastAsia="仿宋"/>
                <w:sz w:val="28"/>
                <w:szCs w:val="28"/>
              </w:rPr>
              <w:t>、</w:t>
            </w:r>
            <w:r>
              <w:rPr>
                <w:rFonts w:hint="eastAsia" w:ascii="仿宋" w:hAnsi="仿宋" w:eastAsia="仿宋"/>
                <w:sz w:val="28"/>
                <w:szCs w:val="28"/>
              </w:rPr>
              <w:t>社区公交、</w:t>
            </w:r>
            <w:r>
              <w:rPr>
                <w:rFonts w:ascii="仿宋" w:hAnsi="仿宋" w:eastAsia="仿宋"/>
                <w:sz w:val="28"/>
                <w:szCs w:val="28"/>
              </w:rPr>
              <w:t>快速公交</w:t>
            </w:r>
            <w:r>
              <w:rPr>
                <w:rFonts w:hint="eastAsia" w:ascii="仿宋" w:hAnsi="仿宋" w:eastAsia="仿宋"/>
                <w:sz w:val="28"/>
                <w:szCs w:val="28"/>
              </w:rPr>
              <w:t>、助学</w:t>
            </w:r>
            <w:r>
              <w:rPr>
                <w:rFonts w:ascii="仿宋" w:hAnsi="仿宋" w:eastAsia="仿宋"/>
                <w:sz w:val="28"/>
                <w:szCs w:val="28"/>
              </w:rPr>
              <w:t>公交、助农公交</w:t>
            </w:r>
            <w:r>
              <w:rPr>
                <w:rFonts w:hint="eastAsia" w:ascii="仿宋" w:hAnsi="仿宋" w:eastAsia="仿宋"/>
                <w:sz w:val="28"/>
                <w:szCs w:val="28"/>
              </w:rPr>
              <w:t>、响应</w:t>
            </w:r>
            <w:r>
              <w:rPr>
                <w:rFonts w:ascii="仿宋" w:hAnsi="仿宋" w:eastAsia="仿宋"/>
                <w:sz w:val="28"/>
                <w:szCs w:val="28"/>
              </w:rPr>
              <w:t>公交</w:t>
            </w:r>
            <w:r>
              <w:rPr>
                <w:rFonts w:hint="eastAsia" w:ascii="仿宋" w:hAnsi="仿宋" w:eastAsia="仿宋"/>
                <w:sz w:val="28"/>
                <w:szCs w:val="28"/>
              </w:rPr>
              <w:t>等特色服务，拓展城市公共交通服务深度和广度，提升服务效率和服务品质。</w:t>
            </w:r>
          </w:p>
        </w:tc>
        <w:tc>
          <w:tcPr>
            <w:tcW w:w="2835" w:type="dxa"/>
            <w:vAlign w:val="center"/>
          </w:tcPr>
          <w:p>
            <w:pPr>
              <w:snapToGrid w:val="0"/>
              <w:contextualSpacing/>
              <w:jc w:val="center"/>
              <w:rPr>
                <w:rFonts w:ascii="仿宋" w:hAnsi="仿宋" w:eastAsia="仿宋"/>
                <w:sz w:val="28"/>
                <w:szCs w:val="28"/>
              </w:rPr>
            </w:pPr>
            <w:r>
              <w:rPr>
                <w:rFonts w:ascii="仿宋" w:hAnsi="仿宋" w:eastAsia="仿宋"/>
                <w:sz w:val="28"/>
                <w:szCs w:val="28"/>
              </w:rPr>
              <w:t>市交通运输局</w:t>
            </w:r>
          </w:p>
          <w:p>
            <w:pPr>
              <w:snapToGrid w:val="0"/>
              <w:contextualSpacing/>
              <w:jc w:val="center"/>
              <w:rPr>
                <w:rFonts w:ascii="仿宋" w:hAnsi="仿宋" w:eastAsia="仿宋"/>
                <w:sz w:val="28"/>
                <w:szCs w:val="28"/>
              </w:rPr>
            </w:pPr>
            <w:r>
              <w:rPr>
                <w:rFonts w:ascii="仿宋" w:hAnsi="仿宋" w:eastAsia="仿宋"/>
                <w:sz w:val="28"/>
                <w:szCs w:val="28"/>
              </w:rPr>
              <w:t>市</w:t>
            </w:r>
            <w:r>
              <w:rPr>
                <w:rFonts w:hint="eastAsia" w:ascii="仿宋" w:hAnsi="仿宋" w:eastAsia="仿宋"/>
                <w:sz w:val="28"/>
                <w:szCs w:val="28"/>
              </w:rPr>
              <w:t>发展改革委</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snapToGrid w:val="0"/>
              <w:contextualSpacing/>
              <w:jc w:val="center"/>
              <w:rPr>
                <w:rFonts w:ascii="Times New Roman" w:hAnsi="Times New Roman" w:eastAsia="仿宋" w:cs="Times New Roman"/>
                <w:sz w:val="28"/>
                <w:szCs w:val="28"/>
              </w:rPr>
            </w:pP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推进无障碍设施、</w:t>
            </w:r>
            <w:r>
              <w:rPr>
                <w:rFonts w:ascii="仿宋" w:hAnsi="仿宋" w:eastAsia="仿宋"/>
                <w:sz w:val="28"/>
                <w:szCs w:val="28"/>
              </w:rPr>
              <w:t>信息化</w:t>
            </w:r>
            <w:r>
              <w:rPr>
                <w:rFonts w:hint="eastAsia" w:ascii="仿宋" w:hAnsi="仿宋" w:eastAsia="仿宋"/>
                <w:sz w:val="28"/>
                <w:szCs w:val="28"/>
              </w:rPr>
              <w:t>及</w:t>
            </w:r>
            <w:r>
              <w:rPr>
                <w:rFonts w:ascii="仿宋" w:hAnsi="仿宋" w:eastAsia="仿宋"/>
                <w:sz w:val="28"/>
                <w:szCs w:val="28"/>
              </w:rPr>
              <w:t>服务</w:t>
            </w:r>
            <w:r>
              <w:rPr>
                <w:rFonts w:hint="eastAsia" w:ascii="仿宋" w:hAnsi="仿宋" w:eastAsia="仿宋"/>
                <w:sz w:val="28"/>
                <w:szCs w:val="28"/>
              </w:rPr>
              <w:t>在城市公共交通领域建设和应用，新建、改建、扩建道路和公共交通设施应当符合无障碍设施工程建设标准，优化城市公共交通领域适老化服务。</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市住房和城乡</w:t>
            </w:r>
            <w:r>
              <w:rPr>
                <w:rFonts w:ascii="仿宋" w:hAnsi="仿宋" w:eastAsia="仿宋"/>
                <w:sz w:val="28"/>
                <w:szCs w:val="28"/>
              </w:rPr>
              <w:t>建设局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城市管理局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残疾人联合会</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snapToGrid w:val="0"/>
              <w:contextualSpacing/>
              <w:jc w:val="center"/>
              <w:rPr>
                <w:rFonts w:ascii="Times New Roman" w:hAnsi="Times New Roman" w:eastAsia="仿宋" w:cs="Times New Roman"/>
                <w:sz w:val="28"/>
                <w:szCs w:val="28"/>
              </w:rPr>
            </w:pP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积极推动免费及优惠乘车人群（儿童</w:t>
            </w:r>
            <w:r>
              <w:rPr>
                <w:rFonts w:ascii="仿宋" w:hAnsi="仿宋" w:eastAsia="仿宋"/>
                <w:sz w:val="28"/>
                <w:szCs w:val="28"/>
              </w:rPr>
              <w:t>除外</w:t>
            </w:r>
            <w:r>
              <w:rPr>
                <w:rFonts w:hint="eastAsia" w:ascii="仿宋" w:hAnsi="仿宋" w:eastAsia="仿宋"/>
                <w:sz w:val="28"/>
                <w:szCs w:val="28"/>
              </w:rPr>
              <w:t>）办理市民卡或其他实名制支付卡，到2025年办理比例达到90%以上。</w:t>
            </w:r>
          </w:p>
        </w:tc>
        <w:tc>
          <w:tcPr>
            <w:tcW w:w="2835" w:type="dxa"/>
            <w:vAlign w:val="center"/>
          </w:tcPr>
          <w:p>
            <w:pPr>
              <w:snapToGrid w:val="0"/>
              <w:contextualSpacing/>
              <w:jc w:val="center"/>
              <w:rPr>
                <w:rFonts w:hint="default" w:ascii="仿宋" w:hAnsi="仿宋" w:eastAsia="仿宋"/>
                <w:sz w:val="28"/>
                <w:szCs w:val="28"/>
                <w:lang w:val="en-US" w:eastAsia="zh-CN"/>
              </w:rPr>
            </w:pPr>
            <w:r>
              <w:rPr>
                <w:rFonts w:hint="eastAsia" w:ascii="仿宋" w:hAnsi="仿宋" w:eastAsia="仿宋"/>
                <w:sz w:val="28"/>
                <w:szCs w:val="28"/>
                <w:lang w:val="en-US" w:eastAsia="zh-CN"/>
              </w:rPr>
              <w:t>市卫生健康委</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残疾人联合会</w:t>
            </w:r>
          </w:p>
          <w:p>
            <w:pPr>
              <w:snapToGrid w:val="0"/>
              <w:contextualSpacing/>
              <w:jc w:val="center"/>
              <w:rPr>
                <w:rFonts w:ascii="仿宋" w:hAnsi="仿宋" w:eastAsia="仿宋"/>
                <w:sz w:val="28"/>
                <w:szCs w:val="28"/>
              </w:rPr>
            </w:pPr>
            <w:r>
              <w:rPr>
                <w:rFonts w:hint="eastAsia" w:ascii="仿宋" w:hAnsi="仿宋" w:eastAsia="仿宋"/>
                <w:sz w:val="28"/>
                <w:szCs w:val="28"/>
              </w:rPr>
              <w:t>市退役</w:t>
            </w:r>
            <w:r>
              <w:rPr>
                <w:rFonts w:ascii="仿宋" w:hAnsi="仿宋" w:eastAsia="仿宋"/>
                <w:sz w:val="28"/>
                <w:szCs w:val="28"/>
              </w:rPr>
              <w:t>军人事务局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公安局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17</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推进城市公共交通系统智慧化更新升级</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鼓励新型智能交通运载工具应用，推进大数据、云计算、泛在互联、人工智能、车路协同等新技术在公交线网优化、运营调度、服务监管、行业管理和出行服务等方面的应用，提高城市公共交通智能化发展水平。积极拓展支付结算模式，探索“一卡通”等互联互通实体卡与移动支付方式的深度融合，提升便捷支付与创新应用能力。</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交通运输局</w:t>
            </w:r>
          </w:p>
          <w:p>
            <w:pPr>
              <w:snapToGrid w:val="0"/>
              <w:contextualSpacing/>
              <w:jc w:val="center"/>
              <w:rPr>
                <w:rFonts w:ascii="仿宋" w:hAnsi="仿宋" w:eastAsia="仿宋"/>
                <w:sz w:val="28"/>
                <w:szCs w:val="28"/>
              </w:rPr>
            </w:pPr>
            <w:r>
              <w:rPr>
                <w:rFonts w:hint="eastAsia" w:ascii="仿宋" w:hAnsi="仿宋" w:eastAsia="仿宋"/>
                <w:sz w:val="28"/>
                <w:szCs w:val="28"/>
              </w:rPr>
              <w:t>各区市人民</w:t>
            </w:r>
            <w:r>
              <w:rPr>
                <w:rFonts w:ascii="仿宋" w:hAnsi="仿宋" w:eastAsia="仿宋"/>
                <w:sz w:val="28"/>
                <w:szCs w:val="28"/>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Merge w:val="restart"/>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18</w:t>
            </w:r>
          </w:p>
        </w:tc>
        <w:tc>
          <w:tcPr>
            <w:tcW w:w="2551" w:type="dxa"/>
            <w:vMerge w:val="restart"/>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深化城市公共交通行业精神文明建设</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深入开展“绿色出行宣传月”、“公交出行宣传周”等活动，广泛宣传发动群众选择低碳、环保绿色出行。</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snapToGrid w:val="0"/>
              <w:contextualSpacing/>
              <w:jc w:val="center"/>
              <w:rPr>
                <w:rFonts w:ascii="Times New Roman" w:hAnsi="Times New Roman" w:eastAsia="仿宋" w:cs="Times New Roman"/>
                <w:sz w:val="28"/>
                <w:szCs w:val="28"/>
              </w:rPr>
            </w:pP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加强城市公共交通精神文明和党建宣传教育，将城市公共交通行业打造成为新时代中国特色社会主义精神文明的重要窗口。加大行业先进典型的宣传力度，深化文明线路、岗位技能比武等城市公共交通服务品牌，营造文明从业、诚信从业的浓厚氛围。</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19</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加强城市公共交通安全管理</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落实安全管理制度、安全生产责任，建立覆盖全行业的风险分级管控和隐患排查治理双重预防体系，不断推进车辆安全防范新技术应用，实施车辆运行状态监控，提高安全防控能力。健全安全应急预案管理体系，定期组织培训演练。</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市公安局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应急管理局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20</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促进综合交通运输协调发展</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城市公共交通要与道路、铁路、水路</w:t>
            </w:r>
            <w:r>
              <w:rPr>
                <w:rFonts w:ascii="仿宋" w:hAnsi="仿宋" w:eastAsia="仿宋"/>
                <w:sz w:val="28"/>
                <w:szCs w:val="28"/>
              </w:rPr>
              <w:t>、</w:t>
            </w:r>
            <w:r>
              <w:rPr>
                <w:rFonts w:hint="eastAsia" w:ascii="仿宋" w:hAnsi="仿宋" w:eastAsia="仿宋"/>
                <w:sz w:val="28"/>
                <w:szCs w:val="28"/>
              </w:rPr>
              <w:t>航空、轨道</w:t>
            </w:r>
            <w:r>
              <w:rPr>
                <w:rFonts w:ascii="仿宋" w:hAnsi="仿宋" w:eastAsia="仿宋"/>
                <w:sz w:val="28"/>
                <w:szCs w:val="28"/>
              </w:rPr>
              <w:t>交通等</w:t>
            </w:r>
            <w:r>
              <w:rPr>
                <w:rFonts w:hint="eastAsia" w:ascii="仿宋" w:hAnsi="仿宋" w:eastAsia="仿宋"/>
                <w:sz w:val="28"/>
                <w:szCs w:val="28"/>
              </w:rPr>
              <w:t>统筹发展，规划建设与长途汽车站、火车站、机场、港口客运站规模相配套的公交停车场站和综合枢纽等基础设施，建立科学合理的综合交通运输体系，实现各种交通方式之间的无缝衔接。</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各区市人民政府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21</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支持公交企业高质量发展</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支持城市公共交通企业按照产权清晰、权责明确、政企分开、管理科学的原则，进一步完善现代企业制度，不断提高企业管理服务水平，促进可持续发展。</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市国资委</w:t>
            </w:r>
          </w:p>
          <w:p>
            <w:pPr>
              <w:snapToGrid w:val="0"/>
              <w:contextualSpacing/>
              <w:jc w:val="center"/>
              <w:rPr>
                <w:rFonts w:ascii="仿宋" w:hAnsi="仿宋" w:eastAsia="仿宋"/>
                <w:sz w:val="28"/>
                <w:szCs w:val="28"/>
              </w:rPr>
            </w:pPr>
            <w:r>
              <w:rPr>
                <w:rFonts w:hint="eastAsia" w:ascii="仿宋" w:hAnsi="仿宋" w:eastAsia="仿宋"/>
                <w:sz w:val="28"/>
                <w:szCs w:val="28"/>
              </w:rPr>
              <w:t>市交通运输局</w:t>
            </w:r>
          </w:p>
          <w:p>
            <w:pPr>
              <w:snapToGrid w:val="0"/>
              <w:contextualSpacing/>
              <w:jc w:val="center"/>
              <w:rPr>
                <w:rFonts w:ascii="仿宋" w:hAnsi="仿宋" w:eastAsia="仿宋"/>
                <w:sz w:val="28"/>
                <w:szCs w:val="28"/>
              </w:rPr>
            </w:pPr>
            <w:r>
              <w:rPr>
                <w:rFonts w:hint="eastAsia" w:ascii="仿宋" w:hAnsi="仿宋" w:eastAsia="仿宋"/>
                <w:sz w:val="28"/>
                <w:szCs w:val="28"/>
              </w:rPr>
              <w:t>各区市人民政府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1"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22</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完善工作机制</w:t>
            </w:r>
          </w:p>
        </w:tc>
        <w:tc>
          <w:tcPr>
            <w:tcW w:w="8363" w:type="dxa"/>
            <w:vAlign w:val="center"/>
          </w:tcPr>
          <w:p>
            <w:pPr>
              <w:snapToGrid w:val="0"/>
              <w:contextualSpacing/>
              <w:rPr>
                <w:rFonts w:ascii="仿宋" w:hAnsi="仿宋" w:eastAsia="仿宋"/>
                <w:sz w:val="28"/>
                <w:szCs w:val="28"/>
                <w:highlight w:val="yellow"/>
              </w:rPr>
            </w:pPr>
            <w:r>
              <w:rPr>
                <w:rFonts w:hint="eastAsia" w:ascii="仿宋" w:hAnsi="仿宋" w:eastAsia="仿宋"/>
                <w:sz w:val="28"/>
                <w:szCs w:val="28"/>
              </w:rPr>
              <w:t>推动形成多部门联动的综合协调机制，定期研究解决城市公共交通发展中遇到的问题，全力推进城市公共交通优先发展。</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、各区市人民政府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Merge w:val="restart"/>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23</w:t>
            </w:r>
          </w:p>
        </w:tc>
        <w:tc>
          <w:tcPr>
            <w:tcW w:w="2551" w:type="dxa"/>
            <w:vMerge w:val="restart"/>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健全政策体系</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健全和完善城市公共交通优先发展的相关政策体系，推动完成立法工作。</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市司法局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88" w:type="dxa"/>
            <w:vMerge w:val="continue"/>
            <w:vAlign w:val="center"/>
          </w:tcPr>
          <w:p>
            <w:pPr>
              <w:jc w:val="center"/>
              <w:rPr>
                <w:rFonts w:ascii="Times New Roman" w:hAnsi="Times New Roman" w:eastAsia="仿宋" w:cs="Times New Roman"/>
                <w:sz w:val="28"/>
                <w:szCs w:val="28"/>
              </w:rPr>
            </w:pPr>
          </w:p>
        </w:tc>
        <w:tc>
          <w:tcPr>
            <w:tcW w:w="2551" w:type="dxa"/>
            <w:vMerge w:val="continue"/>
            <w:vAlign w:val="center"/>
          </w:tcPr>
          <w:p>
            <w:pPr>
              <w:snapToGrid w:val="0"/>
              <w:contextualSpacing/>
              <w:jc w:val="center"/>
              <w:rPr>
                <w:rFonts w:ascii="Times New Roman" w:hAnsi="Times New Roman" w:eastAsia="仿宋" w:cs="Times New Roman"/>
                <w:sz w:val="28"/>
                <w:szCs w:val="28"/>
              </w:rPr>
            </w:pP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研究制定城市公共交通运营服务、设施建设、乘车规则等方面的标准规范，为服务城市公共交通优先发展提供技术支持。</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市交通</w:t>
            </w:r>
            <w:r>
              <w:rPr>
                <w:rFonts w:ascii="仿宋" w:hAnsi="仿宋" w:eastAsia="仿宋"/>
                <w:sz w:val="28"/>
                <w:szCs w:val="28"/>
              </w:rPr>
              <w:t>运输局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市场监督管理局</w:t>
            </w:r>
          </w:p>
          <w:p>
            <w:pPr>
              <w:snapToGrid w:val="0"/>
              <w:contextualSpacing/>
              <w:jc w:val="center"/>
              <w:rPr>
                <w:rFonts w:ascii="仿宋" w:hAnsi="仿宋" w:eastAsia="仿宋"/>
                <w:sz w:val="28"/>
                <w:szCs w:val="28"/>
              </w:rPr>
            </w:pPr>
            <w:r>
              <w:rPr>
                <w:rFonts w:hint="eastAsia" w:ascii="仿宋" w:hAnsi="仿宋" w:eastAsia="仿宋"/>
                <w:sz w:val="28"/>
                <w:szCs w:val="28"/>
              </w:rPr>
              <w:t>各区市人民政府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24</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强化社会监督</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加强舆论宣传引导，不断增强公众对绿色出行、公交优先的认同感。充分发挥各类媒体、行业协会、专家智库和公益组织的作用，广泛动员全社会积极参与，形成共建、共享、共治的城市公共交通优先发展格局。</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交通运输局</w:t>
            </w:r>
          </w:p>
          <w:p>
            <w:pPr>
              <w:snapToGrid w:val="0"/>
              <w:contextualSpacing/>
              <w:jc w:val="center"/>
              <w:rPr>
                <w:rFonts w:ascii="仿宋" w:hAnsi="仿宋" w:eastAsia="仿宋"/>
                <w:sz w:val="28"/>
                <w:szCs w:val="28"/>
              </w:rPr>
            </w:pPr>
            <w:r>
              <w:rPr>
                <w:rFonts w:hint="eastAsia" w:ascii="仿宋" w:hAnsi="仿宋" w:eastAsia="仿宋"/>
                <w:sz w:val="28"/>
                <w:szCs w:val="28"/>
              </w:rPr>
              <w:t>各区市</w:t>
            </w:r>
            <w:r>
              <w:rPr>
                <w:rFonts w:ascii="仿宋" w:hAnsi="仿宋" w:eastAsia="仿宋"/>
                <w:sz w:val="28"/>
                <w:szCs w:val="28"/>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4" w:hRule="atLeast"/>
        </w:trPr>
        <w:tc>
          <w:tcPr>
            <w:tcW w:w="988"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25</w:t>
            </w:r>
          </w:p>
        </w:tc>
        <w:tc>
          <w:tcPr>
            <w:tcW w:w="2551" w:type="dxa"/>
            <w:vAlign w:val="center"/>
          </w:tcPr>
          <w:p>
            <w:pPr>
              <w:snapToGrid w:val="0"/>
              <w:contextualSpacing/>
              <w:jc w:val="center"/>
              <w:rPr>
                <w:rFonts w:ascii="Times New Roman" w:hAnsi="Times New Roman" w:eastAsia="仿宋" w:cs="Times New Roman"/>
                <w:sz w:val="28"/>
                <w:szCs w:val="28"/>
              </w:rPr>
            </w:pPr>
            <w:r>
              <w:rPr>
                <w:rFonts w:ascii="Times New Roman" w:hAnsi="Times New Roman" w:eastAsia="仿宋" w:cs="Times New Roman"/>
                <w:sz w:val="28"/>
                <w:szCs w:val="28"/>
              </w:rPr>
              <w:t>维护职工合法权益</w:t>
            </w:r>
          </w:p>
        </w:tc>
        <w:tc>
          <w:tcPr>
            <w:tcW w:w="8363" w:type="dxa"/>
            <w:vAlign w:val="center"/>
          </w:tcPr>
          <w:p>
            <w:pPr>
              <w:snapToGrid w:val="0"/>
              <w:contextualSpacing/>
              <w:rPr>
                <w:rFonts w:ascii="仿宋" w:hAnsi="仿宋" w:eastAsia="仿宋"/>
                <w:sz w:val="28"/>
                <w:szCs w:val="28"/>
              </w:rPr>
            </w:pPr>
            <w:r>
              <w:rPr>
                <w:rFonts w:hint="eastAsia" w:ascii="仿宋" w:hAnsi="仿宋" w:eastAsia="仿宋"/>
                <w:sz w:val="28"/>
                <w:szCs w:val="28"/>
              </w:rPr>
              <w:t>促进公交企业与驾驶员依法建立和规范劳动关系，加强劳动保护。建立健全职工工资增长机制，合理提高企业职工收入和社会保障水平。定期组织从业人员身心健康检查，建立健康档案，保护从业人员身心健康。</w:t>
            </w:r>
          </w:p>
        </w:tc>
        <w:tc>
          <w:tcPr>
            <w:tcW w:w="2835" w:type="dxa"/>
            <w:vAlign w:val="center"/>
          </w:tcPr>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人力资源和社会保障局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总工会</w:t>
            </w:r>
          </w:p>
          <w:p>
            <w:pPr>
              <w:snapToGrid w:val="0"/>
              <w:contextualSpacing/>
              <w:jc w:val="center"/>
              <w:rPr>
                <w:rFonts w:ascii="仿宋" w:hAnsi="仿宋" w:eastAsia="仿宋"/>
                <w:sz w:val="28"/>
                <w:szCs w:val="28"/>
              </w:rPr>
            </w:pPr>
            <w:r>
              <w:rPr>
                <w:rFonts w:hint="eastAsia" w:ascii="仿宋" w:hAnsi="仿宋" w:eastAsia="仿宋"/>
                <w:sz w:val="28"/>
                <w:szCs w:val="28"/>
              </w:rPr>
              <w:t>市财政局</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卫生健康委</w:t>
            </w:r>
          </w:p>
          <w:p>
            <w:pPr>
              <w:snapToGrid w:val="0"/>
              <w:contextualSpacing/>
              <w:jc w:val="center"/>
              <w:rPr>
                <w:rFonts w:ascii="仿宋" w:hAnsi="仿宋" w:eastAsia="仿宋"/>
                <w:sz w:val="28"/>
                <w:szCs w:val="28"/>
              </w:rPr>
            </w:pPr>
            <w:r>
              <w:rPr>
                <w:rFonts w:hint="eastAsia" w:ascii="仿宋" w:hAnsi="仿宋" w:eastAsia="仿宋"/>
                <w:sz w:val="28"/>
                <w:szCs w:val="28"/>
              </w:rPr>
              <w:t>市</w:t>
            </w:r>
            <w:r>
              <w:rPr>
                <w:rFonts w:ascii="仿宋" w:hAnsi="仿宋" w:eastAsia="仿宋"/>
                <w:sz w:val="28"/>
                <w:szCs w:val="28"/>
              </w:rPr>
              <w:t>国资委</w:t>
            </w:r>
          </w:p>
          <w:p>
            <w:pPr>
              <w:snapToGrid w:val="0"/>
              <w:contextualSpacing/>
              <w:jc w:val="center"/>
              <w:rPr>
                <w:rFonts w:ascii="仿宋" w:hAnsi="仿宋" w:eastAsia="仿宋"/>
                <w:sz w:val="28"/>
                <w:szCs w:val="28"/>
              </w:rPr>
            </w:pPr>
            <w:r>
              <w:rPr>
                <w:rFonts w:hint="eastAsia" w:ascii="仿宋" w:hAnsi="仿宋" w:eastAsia="仿宋"/>
                <w:sz w:val="28"/>
                <w:szCs w:val="28"/>
              </w:rPr>
              <w:t>各区市人民政府</w:t>
            </w:r>
          </w:p>
        </w:tc>
      </w:tr>
    </w:tbl>
    <w:p>
      <w:pPr>
        <w:pStyle w:val="4"/>
        <w:widowControl/>
        <w:overflowPunct w:val="0"/>
        <w:spacing w:before="0" w:beforeAutospacing="0" w:after="0" w:afterAutospacing="0" w:line="560" w:lineRule="exact"/>
        <w:jc w:val="both"/>
        <w:rPr>
          <w:rFonts w:hint="eastAsia" w:ascii="仿宋" w:hAnsi="仿宋" w:eastAsia="仿宋" w:cstheme="minorBidi"/>
          <w:kern w:val="2"/>
          <w:sz w:val="32"/>
          <w:szCs w:val="32"/>
        </w:rPr>
      </w:pPr>
    </w:p>
    <w:p>
      <w:pP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cs="黑体"/>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tabs>
          <w:tab w:val="center" w:pos="6979"/>
          <w:tab w:val="left" w:pos="10680"/>
        </w:tab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w:t>
      </w:r>
      <w:r>
        <w:rPr>
          <w:rFonts w:hint="eastAsia" w:ascii="方正小标宋简体" w:hAnsi="方正小标宋简体" w:eastAsia="方正小标宋简体" w:cs="方正小标宋简体"/>
          <w:sz w:val="44"/>
          <w:szCs w:val="44"/>
          <w:lang w:eastAsia="zh-CN"/>
        </w:rPr>
        <w:t>反馈</w:t>
      </w:r>
      <w:r>
        <w:rPr>
          <w:rFonts w:hint="eastAsia" w:ascii="方正小标宋简体" w:hAnsi="方正小标宋简体" w:eastAsia="方正小标宋简体" w:cs="方正小标宋简体"/>
          <w:sz w:val="44"/>
          <w:szCs w:val="44"/>
        </w:rPr>
        <w:t>表</w:t>
      </w:r>
    </w:p>
    <w:p>
      <w:pPr>
        <w:rPr>
          <w:rFonts w:hint="eastAsia" w:eastAsia="楷体_GB2312"/>
          <w:b w:val="0"/>
          <w:bCs w:val="0"/>
          <w:sz w:val="24"/>
          <w:szCs w:val="24"/>
        </w:rPr>
      </w:pPr>
      <w:r>
        <w:rPr>
          <w:rFonts w:hint="eastAsia" w:eastAsia="楷体_GB2312"/>
          <w:b w:val="0"/>
          <w:bCs w:val="0"/>
          <w:sz w:val="24"/>
          <w:szCs w:val="24"/>
        </w:rPr>
        <w:t>单位</w:t>
      </w:r>
      <w:r>
        <w:rPr>
          <w:rFonts w:hint="eastAsia" w:eastAsia="楷体_GB2312"/>
          <w:b w:val="0"/>
          <w:bCs w:val="0"/>
          <w:sz w:val="24"/>
          <w:szCs w:val="24"/>
          <w:lang w:eastAsia="zh-CN"/>
        </w:rPr>
        <w:t>名称：</w:t>
      </w:r>
      <w:r>
        <w:rPr>
          <w:rFonts w:hint="eastAsia" w:eastAsia="楷体_GB2312"/>
          <w:b w:val="0"/>
          <w:bCs w:val="0"/>
          <w:sz w:val="24"/>
          <w:szCs w:val="24"/>
          <w:lang w:val="en-US" w:eastAsia="zh-CN"/>
        </w:rPr>
        <w:t xml:space="preserve">                                  联系人</w:t>
      </w:r>
      <w:r>
        <w:rPr>
          <w:rFonts w:hint="eastAsia" w:eastAsia="楷体_GB2312"/>
          <w:b w:val="0"/>
          <w:bCs w:val="0"/>
          <w:sz w:val="24"/>
          <w:szCs w:val="24"/>
        </w:rPr>
        <w:t xml:space="preserve">：               电话：                     </w:t>
      </w:r>
      <w:r>
        <w:rPr>
          <w:rFonts w:hint="eastAsia" w:eastAsia="楷体_GB2312"/>
          <w:b w:val="0"/>
          <w:bCs w:val="0"/>
          <w:sz w:val="24"/>
          <w:szCs w:val="24"/>
          <w:lang w:val="en-US" w:eastAsia="zh-CN"/>
        </w:rPr>
        <w:t xml:space="preserve">   </w:t>
      </w:r>
      <w:r>
        <w:rPr>
          <w:rFonts w:hint="eastAsia" w:eastAsia="楷体_GB2312"/>
          <w:b w:val="0"/>
          <w:bCs w:val="0"/>
          <w:sz w:val="24"/>
          <w:szCs w:val="24"/>
        </w:rPr>
        <w:t xml:space="preserve">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3780"/>
        <w:gridCol w:w="4140"/>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8" w:type="dxa"/>
            <w:noWrap w:val="0"/>
            <w:vAlign w:val="center"/>
          </w:tcPr>
          <w:p>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800" w:type="dxa"/>
            <w:noWrap w:val="0"/>
            <w:vAlign w:val="center"/>
          </w:tcPr>
          <w:p>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标准章条号</w:t>
            </w:r>
          </w:p>
        </w:tc>
        <w:tc>
          <w:tcPr>
            <w:tcW w:w="3780" w:type="dxa"/>
            <w:noWrap w:val="0"/>
            <w:vAlign w:val="center"/>
          </w:tcPr>
          <w:p>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征求意见稿原文</w:t>
            </w:r>
          </w:p>
        </w:tc>
        <w:tc>
          <w:tcPr>
            <w:tcW w:w="4140" w:type="dxa"/>
            <w:noWrap w:val="0"/>
            <w:vAlign w:val="center"/>
          </w:tcPr>
          <w:p>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修 改 建 议</w:t>
            </w:r>
          </w:p>
        </w:tc>
        <w:tc>
          <w:tcPr>
            <w:tcW w:w="3626" w:type="dxa"/>
            <w:noWrap w:val="0"/>
            <w:vAlign w:val="center"/>
          </w:tcPr>
          <w:p>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理  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28" w:type="dxa"/>
            <w:noWrap w:val="0"/>
            <w:vAlign w:val="top"/>
          </w:tcPr>
          <w:p>
            <w:pPr>
              <w:rPr>
                <w:rFonts w:hint="eastAsia"/>
              </w:rPr>
            </w:pPr>
          </w:p>
        </w:tc>
        <w:tc>
          <w:tcPr>
            <w:tcW w:w="1800" w:type="dxa"/>
            <w:noWrap w:val="0"/>
            <w:vAlign w:val="top"/>
          </w:tcPr>
          <w:p>
            <w:pPr>
              <w:rPr>
                <w:rFonts w:hint="eastAsia"/>
              </w:rPr>
            </w:pPr>
          </w:p>
        </w:tc>
        <w:tc>
          <w:tcPr>
            <w:tcW w:w="3780" w:type="dxa"/>
            <w:noWrap w:val="0"/>
            <w:vAlign w:val="top"/>
          </w:tcPr>
          <w:p>
            <w:pPr>
              <w:rPr>
                <w:rFonts w:hint="eastAsia"/>
              </w:rPr>
            </w:pPr>
          </w:p>
        </w:tc>
        <w:tc>
          <w:tcPr>
            <w:tcW w:w="4140" w:type="dxa"/>
            <w:noWrap w:val="0"/>
            <w:vAlign w:val="top"/>
          </w:tcPr>
          <w:p>
            <w:pPr>
              <w:rPr>
                <w:rFonts w:hint="eastAsia"/>
              </w:rPr>
            </w:pPr>
          </w:p>
        </w:tc>
        <w:tc>
          <w:tcPr>
            <w:tcW w:w="3626"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828" w:type="dxa"/>
            <w:noWrap w:val="0"/>
            <w:vAlign w:val="top"/>
          </w:tcPr>
          <w:p>
            <w:pPr>
              <w:rPr>
                <w:rFonts w:hint="eastAsia"/>
              </w:rPr>
            </w:pPr>
          </w:p>
        </w:tc>
        <w:tc>
          <w:tcPr>
            <w:tcW w:w="1800" w:type="dxa"/>
            <w:noWrap w:val="0"/>
            <w:vAlign w:val="top"/>
          </w:tcPr>
          <w:p>
            <w:pPr>
              <w:rPr>
                <w:rFonts w:hint="eastAsia"/>
              </w:rPr>
            </w:pPr>
          </w:p>
        </w:tc>
        <w:tc>
          <w:tcPr>
            <w:tcW w:w="3780" w:type="dxa"/>
            <w:noWrap w:val="0"/>
            <w:vAlign w:val="top"/>
          </w:tcPr>
          <w:p>
            <w:pPr>
              <w:rPr>
                <w:rFonts w:hint="eastAsia"/>
              </w:rPr>
            </w:pPr>
          </w:p>
        </w:tc>
        <w:tc>
          <w:tcPr>
            <w:tcW w:w="4140" w:type="dxa"/>
            <w:noWrap w:val="0"/>
            <w:vAlign w:val="top"/>
          </w:tcPr>
          <w:p>
            <w:pPr>
              <w:rPr>
                <w:rFonts w:hint="eastAsia"/>
              </w:rPr>
            </w:pPr>
          </w:p>
        </w:tc>
        <w:tc>
          <w:tcPr>
            <w:tcW w:w="3626"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828" w:type="dxa"/>
            <w:noWrap w:val="0"/>
            <w:vAlign w:val="top"/>
          </w:tcPr>
          <w:p>
            <w:pPr>
              <w:rPr>
                <w:rFonts w:hint="eastAsia"/>
              </w:rPr>
            </w:pPr>
          </w:p>
        </w:tc>
        <w:tc>
          <w:tcPr>
            <w:tcW w:w="1800" w:type="dxa"/>
            <w:noWrap w:val="0"/>
            <w:vAlign w:val="top"/>
          </w:tcPr>
          <w:p>
            <w:pPr>
              <w:rPr>
                <w:rFonts w:hint="eastAsia"/>
              </w:rPr>
            </w:pPr>
          </w:p>
        </w:tc>
        <w:tc>
          <w:tcPr>
            <w:tcW w:w="3780" w:type="dxa"/>
            <w:noWrap w:val="0"/>
            <w:vAlign w:val="top"/>
          </w:tcPr>
          <w:p>
            <w:pPr>
              <w:rPr>
                <w:rFonts w:hint="eastAsia"/>
              </w:rPr>
            </w:pPr>
          </w:p>
        </w:tc>
        <w:tc>
          <w:tcPr>
            <w:tcW w:w="4140" w:type="dxa"/>
            <w:noWrap w:val="0"/>
            <w:vAlign w:val="top"/>
          </w:tcPr>
          <w:p>
            <w:pPr>
              <w:rPr>
                <w:rFonts w:hint="eastAsia"/>
              </w:rPr>
            </w:pPr>
          </w:p>
        </w:tc>
        <w:tc>
          <w:tcPr>
            <w:tcW w:w="3626" w:type="dxa"/>
            <w:noWrap w:val="0"/>
            <w:vAlign w:val="top"/>
          </w:tcPr>
          <w:p>
            <w:pPr>
              <w:rPr>
                <w:rFonts w:hint="eastAsia"/>
              </w:rPr>
            </w:pPr>
          </w:p>
        </w:tc>
      </w:tr>
    </w:tbl>
    <w:p>
      <w:pPr>
        <w:rPr>
          <w:rFonts w:hint="default" w:ascii="黑体" w:hAnsi="黑体" w:eastAsia="黑体" w:cs="黑体"/>
          <w:sz w:val="32"/>
          <w:szCs w:val="32"/>
          <w:lang w:val="en-US" w:eastAsia="zh-CN"/>
        </w:rPr>
      </w:pPr>
      <w:r>
        <w:rPr>
          <w:rFonts w:hint="eastAsia"/>
          <w:sz w:val="24"/>
          <w:szCs w:val="24"/>
          <w:lang w:eastAsia="zh-CN"/>
        </w:rPr>
        <w:t>此表可另附页。</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C413D"/>
    <w:rsid w:val="00785AD3"/>
    <w:rsid w:val="0D787C18"/>
    <w:rsid w:val="173C413D"/>
    <w:rsid w:val="1AEF4605"/>
    <w:rsid w:val="1D2E006E"/>
    <w:rsid w:val="306F5F16"/>
    <w:rsid w:val="348257DA"/>
    <w:rsid w:val="3CA74897"/>
    <w:rsid w:val="3F7F2E78"/>
    <w:rsid w:val="449B4296"/>
    <w:rsid w:val="5DB217C6"/>
    <w:rsid w:val="62371F2F"/>
    <w:rsid w:val="66180C96"/>
    <w:rsid w:val="6BB3651A"/>
    <w:rsid w:val="6E779E48"/>
    <w:rsid w:val="6F9401C4"/>
    <w:rsid w:val="70275B8D"/>
    <w:rsid w:val="7F541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semiHidden/>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2023-04-11T14:48:00Z</dcterms:created>
  <dc:creator>Administrator</dc:creator>
  <cp:lastModifiedBy>user</cp:lastModifiedBy>
  <cp:lastPrinted>2023-05-06T16:41:00Z</cp:lastPrinted>
  <dcterms:modified xsi:type="dcterms:W3CDTF">2023-05-08T10:41:46Z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F99D5B22EB2447809705D9A316E7484C</vt:lpwstr>
  </property>
</Properties>
</file>