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C359">
      <w:pPr>
        <w:adjustRightInd w:val="0"/>
        <w:spacing w:after="0"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烟台市中国北方最美生态城市建设行动方案</w:t>
      </w:r>
    </w:p>
    <w:p w14:paraId="4B48FEF0">
      <w:pPr>
        <w:adjustRightInd w:val="0"/>
        <w:spacing w:after="0"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（征求意见稿）</w:t>
      </w:r>
    </w:p>
    <w:p w14:paraId="16E5D8CA">
      <w:pPr>
        <w:adjustRightInd w:val="0"/>
        <w:spacing w:after="0" w:line="560" w:lineRule="exact"/>
        <w:jc w:val="center"/>
        <w:outlineLvl w:val="0"/>
        <w:rPr>
          <w:rFonts w:ascii="方正小标宋简体" w:eastAsia="方正小标宋简体"/>
          <w:sz w:val="44"/>
          <w:szCs w:val="44"/>
        </w:rPr>
      </w:pPr>
    </w:p>
    <w:p w14:paraId="7CAB1186">
      <w:pPr>
        <w:spacing w:after="0" w:line="560" w:lineRule="exact"/>
        <w:ind w:firstLine="640" w:firstLineChars="200"/>
        <w:jc w:val="both"/>
        <w:rPr>
          <w:rFonts w:ascii="仿宋_GB2312" w:hAnsi="黑体" w:eastAsia="仿宋_GB2312"/>
          <w:bCs/>
          <w:sz w:val="32"/>
          <w:szCs w:val="32"/>
          <w14:ligatures w14:val="none"/>
        </w:rPr>
      </w:pPr>
    </w:p>
    <w:p w14:paraId="48404617">
      <w:pPr>
        <w:spacing w:after="0" w:line="560" w:lineRule="exact"/>
        <w:ind w:firstLine="640" w:firstLineChars="200"/>
        <w:jc w:val="both"/>
        <w:rPr>
          <w:rFonts w:hint="eastAsia" w:ascii="仿宋_GB2312" w:hAnsi="黑体" w:eastAsia="仿宋_GB2312"/>
          <w:bCs/>
          <w:sz w:val="32"/>
          <w:szCs w:val="32"/>
          <w14:ligatures w14:val="none"/>
        </w:rPr>
      </w:pPr>
      <w:r>
        <w:rPr>
          <w:rFonts w:hint="eastAsia" w:ascii="仿宋_GB2312" w:hAnsi="黑体" w:eastAsia="仿宋_GB2312"/>
          <w:bCs/>
          <w:sz w:val="32"/>
          <w:szCs w:val="32"/>
          <w14:ligatures w14:val="none"/>
        </w:rPr>
        <w:t>为全面贯彻党的二十大和二十届二中全会精神，全面落实全国生态环境保护大会和美丽中国、美丽山东建设部署要求，深入推进美丽烟台建设，以美丽河湖、美丽烟台建设为重要契机，把“打造中国北方最美生态城市”作为烟台生态文明建设的目标定位，纳入全市工作总体布局，制定本行动方案。</w:t>
      </w:r>
    </w:p>
    <w:p w14:paraId="1CFDA1E2">
      <w:pPr>
        <w:spacing w:after="0" w:line="560" w:lineRule="exact"/>
        <w:ind w:firstLine="640" w:firstLineChars="200"/>
        <w:jc w:val="both"/>
        <w:outlineLvl w:val="0"/>
        <w:rPr>
          <w:rFonts w:ascii="黑体" w:hAnsi="黑体" w:eastAsia="黑体"/>
          <w:bCs/>
          <w:sz w:val="32"/>
          <w:szCs w:val="32"/>
          <w14:ligatures w14:val="none"/>
        </w:rPr>
      </w:pPr>
      <w:r>
        <w:rPr>
          <w:rFonts w:hint="eastAsia" w:ascii="黑体" w:hAnsi="黑体" w:eastAsia="黑体"/>
          <w:bCs/>
          <w:sz w:val="32"/>
          <w:szCs w:val="32"/>
          <w14:ligatures w14:val="none"/>
        </w:rPr>
        <w:t>一、总体要求</w:t>
      </w:r>
    </w:p>
    <w:p w14:paraId="4B5EF698">
      <w:pPr>
        <w:spacing w:after="0" w:line="560" w:lineRule="exact"/>
        <w:ind w:firstLine="640" w:firstLineChars="200"/>
        <w:outlineLvl w:val="1"/>
        <w:rPr>
          <w:rFonts w:ascii="楷体_GB2312" w:eastAsia="楷体_GB2312"/>
          <w:sz w:val="32"/>
          <w:szCs w:val="32"/>
        </w:rPr>
      </w:pPr>
      <w:r>
        <w:rPr>
          <w:rFonts w:hint="eastAsia" w:ascii="楷体_GB2312" w:eastAsia="楷体_GB2312"/>
          <w:sz w:val="32"/>
          <w:szCs w:val="32"/>
        </w:rPr>
        <w:t>（一）指导思想</w:t>
      </w:r>
    </w:p>
    <w:p w14:paraId="61DEE0F8">
      <w:pPr>
        <w:spacing w:after="0" w:line="560" w:lineRule="exact"/>
        <w:ind w:firstLine="640" w:firstLineChars="200"/>
        <w:jc w:val="both"/>
        <w:rPr>
          <w:rFonts w:ascii="仿宋_GB2312" w:eastAsia="仿宋_GB2312"/>
          <w:sz w:val="32"/>
          <w:szCs w:val="32"/>
        </w:rPr>
      </w:pPr>
      <w:r>
        <w:rPr>
          <w:rFonts w:hint="eastAsia" w:ascii="仿宋_GB2312" w:hAnsi="仿宋_GB2312" w:eastAsia="仿宋_GB2312"/>
          <w:sz w:val="32"/>
          <w:szCs w:val="32"/>
        </w:rPr>
        <w:t>坚持</w:t>
      </w:r>
      <w:r>
        <w:rPr>
          <w:rFonts w:ascii="仿宋_GB2312" w:hAnsi="仿宋_GB2312" w:eastAsia="仿宋_GB2312"/>
          <w:sz w:val="32"/>
          <w:szCs w:val="32"/>
        </w:rPr>
        <w:t>以习近平新时代中国特色社会主义思想</w:t>
      </w:r>
      <w:r>
        <w:rPr>
          <w:rFonts w:hint="eastAsia" w:ascii="仿宋_GB2312" w:hAnsi="仿宋_GB2312" w:eastAsia="仿宋_GB2312"/>
          <w:sz w:val="32"/>
          <w:szCs w:val="32"/>
        </w:rPr>
        <w:t>特别是习近平生态文明思想</w:t>
      </w:r>
      <w:r>
        <w:rPr>
          <w:rFonts w:ascii="仿宋_GB2312" w:hAnsi="仿宋_GB2312" w:eastAsia="仿宋_GB2312"/>
          <w:sz w:val="32"/>
          <w:szCs w:val="32"/>
        </w:rPr>
        <w:t>为指导，全面贯彻党的二十大</w:t>
      </w:r>
      <w:r>
        <w:rPr>
          <w:rFonts w:hint="eastAsia" w:ascii="仿宋_GB2312" w:hAnsi="仿宋_GB2312" w:eastAsia="仿宋_GB2312"/>
          <w:sz w:val="32"/>
          <w:szCs w:val="32"/>
        </w:rPr>
        <w:t>和二十届二中全会</w:t>
      </w:r>
      <w:r>
        <w:rPr>
          <w:rFonts w:ascii="仿宋_GB2312" w:hAnsi="仿宋_GB2312" w:eastAsia="仿宋_GB2312"/>
          <w:sz w:val="32"/>
          <w:szCs w:val="32"/>
        </w:rPr>
        <w:t>精神，深入</w:t>
      </w:r>
      <w:r>
        <w:rPr>
          <w:rFonts w:hint="eastAsia" w:ascii="仿宋_GB2312" w:hAnsi="仿宋_GB2312" w:eastAsia="仿宋_GB2312"/>
          <w:sz w:val="32"/>
          <w:szCs w:val="32"/>
        </w:rPr>
        <w:t>落实</w:t>
      </w:r>
      <w:r>
        <w:rPr>
          <w:rFonts w:hint="eastAsia" w:ascii="仿宋_GB2312" w:eastAsia="仿宋_GB2312"/>
          <w:sz w:val="32"/>
          <w:szCs w:val="32"/>
        </w:rPr>
        <w:t>习近平总书记亲临山东、视察烟台的重要讲话精神</w:t>
      </w:r>
      <w:r>
        <w:rPr>
          <w:rFonts w:ascii="仿宋_GB2312" w:hAnsi="仿宋_GB2312" w:eastAsia="仿宋_GB2312"/>
          <w:sz w:val="32"/>
          <w:szCs w:val="32"/>
        </w:rPr>
        <w:t>，</w:t>
      </w:r>
      <w:r>
        <w:rPr>
          <w:rFonts w:hint="eastAsia" w:ascii="仿宋_GB2312" w:hAnsi="仿宋_GB2312" w:eastAsia="仿宋_GB2312"/>
          <w:sz w:val="32"/>
          <w:szCs w:val="32"/>
        </w:rPr>
        <w:t>全面落实全国生态环境保护大会和</w:t>
      </w:r>
      <w:r>
        <w:rPr>
          <w:rFonts w:hint="eastAsia" w:ascii="仿宋_GB2312" w:hAnsi="仿宋_GB2312" w:eastAsia="仿宋_GB2312" w:cs="仿宋_GB2312"/>
          <w:sz w:val="32"/>
          <w:szCs w:val="32"/>
        </w:rPr>
        <w:t>美丽中国、美丽山东建设部署要求</w:t>
      </w:r>
      <w:r>
        <w:rPr>
          <w:rFonts w:hint="eastAsia" w:ascii="仿宋_GB2312" w:eastAsia="仿宋_GB2312"/>
          <w:sz w:val="32"/>
          <w:szCs w:val="32"/>
        </w:rPr>
        <w:t>，</w:t>
      </w:r>
      <w:r>
        <w:rPr>
          <w:rFonts w:hint="eastAsia" w:ascii="仿宋_GB2312" w:hAnsi="仿宋_GB2312" w:eastAsia="仿宋_GB2312"/>
          <w:sz w:val="32"/>
          <w:szCs w:val="32"/>
        </w:rPr>
        <w:t>紧紧围绕打造人与自然和谐共生的美丽中国“烟台样板”、中国北方最美生态城市的总目标，</w:t>
      </w:r>
      <w:r>
        <w:rPr>
          <w:rFonts w:hint="eastAsia" w:ascii="仿宋_GB2312" w:eastAsia="仿宋_GB2312"/>
          <w:sz w:val="32"/>
          <w:szCs w:val="32"/>
        </w:rPr>
        <w:t>以美丽烟台建设为牵引，把“打造中国北方最美生态城市”纳入全市工作总体布局，全面践行人民城市为人民的重要理念，以绿色低碳、环境优美、生态宜居、安全健康、智慧高效为导向，深入实施美丽烟台“绿</w:t>
      </w:r>
      <w:r>
        <w:rPr>
          <w:rFonts w:ascii="Times New Roman" w:hAnsi="Times New Roman" w:eastAsia="仿宋_GB2312" w:cs="Times New Roman"/>
          <w:sz w:val="32"/>
          <w:szCs w:val="32"/>
        </w:rPr>
        <w:t>+”“青+”“蓝+”“紫+”“金+”</w:t>
      </w:r>
      <w:r>
        <w:rPr>
          <w:rFonts w:ascii="仿宋_GB2312" w:eastAsia="仿宋_GB2312"/>
          <w:sz w:val="32"/>
          <w:szCs w:val="32"/>
        </w:rPr>
        <w:t>五色战略</w:t>
      </w:r>
      <w:r>
        <w:rPr>
          <w:rFonts w:hint="eastAsia" w:ascii="仿宋_GB2312" w:eastAsia="仿宋_GB2312"/>
          <w:sz w:val="32"/>
          <w:szCs w:val="32"/>
        </w:rPr>
        <w:t>，打造发掘最美典型，奋进绿色低碳、清洁美丽的生态之城，以高水平的最美生态城市建设促进全市绿色低碳高质量发展、创造高品质生活，加快打造中国北方最美生态城市。</w:t>
      </w:r>
    </w:p>
    <w:p w14:paraId="6A5DBD8B">
      <w:pPr>
        <w:spacing w:after="0" w:line="560" w:lineRule="exact"/>
        <w:ind w:firstLine="640" w:firstLineChars="200"/>
        <w:outlineLvl w:val="1"/>
        <w:rPr>
          <w:rFonts w:ascii="楷体_GB2312" w:eastAsia="楷体_GB2312"/>
          <w:sz w:val="32"/>
          <w:szCs w:val="32"/>
        </w:rPr>
      </w:pPr>
      <w:r>
        <w:rPr>
          <w:rFonts w:hint="eastAsia" w:ascii="楷体_GB2312" w:eastAsia="楷体_GB2312"/>
          <w:sz w:val="32"/>
          <w:szCs w:val="32"/>
        </w:rPr>
        <w:t>（二）工作目标</w:t>
      </w:r>
    </w:p>
    <w:p w14:paraId="15E4B717">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到2027年，</w:t>
      </w:r>
      <w:r>
        <w:rPr>
          <w:rFonts w:hint="eastAsia" w:ascii="仿宋_GB2312" w:hAnsi="仿宋_GB2312" w:eastAsia="仿宋_GB2312" w:cs="仿宋_GB2312"/>
          <w:sz w:val="32"/>
          <w:szCs w:val="32"/>
        </w:rPr>
        <w:t>美丽烟台建设成效显著，中国北方最美生态城市建设形成肉眼可见、广为人知的优势。</w:t>
      </w:r>
    </w:p>
    <w:p w14:paraId="1772C25B">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到2035年，美丽烟台基本建成，烟台市生态文明建设在中国北方形成压倒性优势。</w:t>
      </w:r>
    </w:p>
    <w:p w14:paraId="441B07A8">
      <w:pPr>
        <w:spacing w:after="0" w:line="560" w:lineRule="exact"/>
        <w:ind w:firstLine="640" w:firstLineChars="200"/>
        <w:jc w:val="both"/>
        <w:outlineLvl w:val="0"/>
        <w:rPr>
          <w:rFonts w:ascii="黑体" w:hAnsi="黑体" w:eastAsia="黑体"/>
          <w:bCs/>
          <w:sz w:val="32"/>
          <w:szCs w:val="32"/>
          <w14:ligatures w14:val="none"/>
        </w:rPr>
      </w:pPr>
      <w:r>
        <w:rPr>
          <w:rFonts w:hint="eastAsia" w:ascii="黑体" w:hAnsi="黑体" w:eastAsia="黑体"/>
          <w:bCs/>
          <w:sz w:val="32"/>
          <w:szCs w:val="32"/>
          <w14:ligatures w14:val="none"/>
        </w:rPr>
        <w:t>二、具体任务</w:t>
      </w:r>
    </w:p>
    <w:p w14:paraId="221E4EDB">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（一）绿色低碳发展示范行动</w:t>
      </w:r>
    </w:p>
    <w:p w14:paraId="56D6DDBE">
      <w:pPr>
        <w:spacing w:after="0" w:line="560" w:lineRule="exact"/>
        <w:ind w:firstLine="643" w:firstLineChars="200"/>
        <w:jc w:val="both"/>
        <w:outlineLvl w:val="2"/>
        <w:rPr>
          <w:rFonts w:ascii="Times New Roman" w:hAnsi="Times New Roman" w:eastAsia="仿宋_GB2312" w:cs="Times New Roman"/>
          <w:spacing w:val="2"/>
          <w:sz w:val="32"/>
          <w:szCs w:val="32"/>
        </w:rPr>
      </w:pPr>
      <w:r>
        <w:rPr>
          <w:rFonts w:hint="eastAsia" w:ascii="仿宋_GB2312" w:hAnsi="仿宋_GB2312" w:eastAsia="仿宋_GB2312" w:cs="仿宋_GB2312"/>
          <w:b/>
          <w:bCs/>
          <w:sz w:val="32"/>
          <w:szCs w:val="32"/>
        </w:rPr>
        <w:t>1.构建现代低碳能源体系。</w:t>
      </w:r>
      <w:bookmarkStart w:id="0" w:name="_Hlk157094490"/>
      <w:r>
        <w:rPr>
          <w:rFonts w:ascii="Times New Roman" w:hAnsi="Times New Roman" w:eastAsia="仿宋_GB2312" w:cs="Times New Roman"/>
          <w:sz w:val="32"/>
          <w:szCs w:val="32"/>
        </w:rPr>
        <w:t>不断完善“核、风、光、氢、储、LNG”协同发展的新型能源体系，构建“中国北方清洁能源中心”。</w:t>
      </w:r>
      <w:r>
        <w:rPr>
          <w:rFonts w:hint="eastAsia" w:ascii="Times New Roman" w:hAnsi="Times New Roman" w:eastAsia="仿宋_GB2312" w:cs="Times New Roman"/>
          <w:sz w:val="32"/>
          <w:szCs w:val="32"/>
        </w:rPr>
        <w:t>安全有序发展核电，</w:t>
      </w:r>
      <w:r>
        <w:rPr>
          <w:rFonts w:hint="eastAsia" w:ascii="仿宋_GB2312" w:hAnsi="仿宋_GB2312" w:eastAsia="仿宋_GB2312" w:cs="仿宋_GB2312"/>
          <w:sz w:val="32"/>
          <w:szCs w:val="32"/>
        </w:rPr>
        <w:t>推动核电产业集群化、规模化全链条发展。</w:t>
      </w:r>
      <w:r>
        <w:rPr>
          <w:rFonts w:hint="eastAsia" w:ascii="仿宋_GB2312" w:hAnsi="宋体" w:eastAsia="仿宋_GB2312"/>
          <w:bCs/>
          <w:sz w:val="32"/>
          <w:szCs w:val="32"/>
          <w:lang w:val="zh-CN"/>
        </w:rPr>
        <w:t>打造海阳、牟平、蓬莱、龙口等海上风电基地，探索建设</w:t>
      </w:r>
      <w:r>
        <w:rPr>
          <w:rFonts w:ascii="仿宋_GB2312" w:hAnsi="宋体" w:eastAsia="仿宋_GB2312"/>
          <w:bCs/>
          <w:sz w:val="32"/>
          <w:szCs w:val="32"/>
          <w:lang w:val="zh-CN"/>
        </w:rPr>
        <w:t>“风光储一体化”海洋能源综合示范风场</w:t>
      </w:r>
      <w:r>
        <w:rPr>
          <w:rFonts w:hint="eastAsia" w:ascii="Times New Roman" w:hAnsi="Times New Roman" w:eastAsia="仿宋_GB2312" w:cs="Times New Roman"/>
          <w:sz w:val="32"/>
          <w:szCs w:val="32"/>
        </w:rPr>
        <w:t>。推进光伏发电多场景融合，</w:t>
      </w:r>
      <w:r>
        <w:rPr>
          <w:rFonts w:hint="eastAsia" w:ascii="仿宋_GB2312" w:hAnsi="黑体" w:eastAsia="仿宋_GB2312"/>
          <w:sz w:val="32"/>
          <w:szCs w:val="32"/>
          <w:lang w:val="zh-CN"/>
        </w:rPr>
        <w:t>打造规模化光伏基地。</w:t>
      </w:r>
      <w:r>
        <w:rPr>
          <w:rFonts w:hint="eastAsia" w:ascii="Times New Roman" w:hAnsi="Times New Roman" w:eastAsia="仿宋_GB2312" w:cs="Times New Roman"/>
          <w:spacing w:val="2"/>
          <w:sz w:val="32"/>
          <w:szCs w:val="32"/>
        </w:rPr>
        <w:t>推进氢能创新应用，拓展多元化制氢渠道。积极推广燃料电池汽车、氢能船舶、智能化家用和公共建筑用燃料电池热电联供系列装置等应用示范、供氢管网应用示范。大力推动煤炭清洁高效利用。</w:t>
      </w:r>
      <w:bookmarkEnd w:id="0"/>
    </w:p>
    <w:p w14:paraId="0E9C7974">
      <w:pPr>
        <w:spacing w:after="0" w:line="560" w:lineRule="exact"/>
        <w:ind w:firstLine="643" w:firstLineChars="200"/>
        <w:jc w:val="both"/>
        <w:outlineLvl w:val="2"/>
        <w:rPr>
          <w:rFonts w:ascii="仿宋_GB2312" w:eastAsia="仿宋_GB2312"/>
          <w:sz w:val="32"/>
          <w:szCs w:val="32"/>
        </w:rPr>
      </w:pPr>
      <w:r>
        <w:rPr>
          <w:rFonts w:hint="eastAsia" w:ascii="仿宋_GB2312" w:hAnsi="仿宋_GB2312" w:eastAsia="仿宋_GB2312" w:cs="仿宋_GB2312"/>
          <w:b/>
          <w:bCs/>
          <w:sz w:val="32"/>
          <w:szCs w:val="32"/>
        </w:rPr>
        <w:t>2.提振绿色发展产业动能。</w:t>
      </w:r>
      <w:r>
        <w:rPr>
          <w:rFonts w:ascii="Times New Roman" w:hAnsi="Times New Roman" w:eastAsia="仿宋_GB2312" w:cs="Times New Roman"/>
          <w:sz w:val="32"/>
          <w:szCs w:val="32"/>
        </w:rPr>
        <w:t>培育国家级、省级先进制造业集群和战略性新兴产业集群</w:t>
      </w:r>
      <w:r>
        <w:rPr>
          <w:rFonts w:hint="eastAsia" w:ascii="Times New Roman" w:hAnsi="Times New Roman" w:eastAsia="仿宋_GB2312" w:cs="Times New Roman"/>
          <w:sz w:val="32"/>
          <w:szCs w:val="32"/>
        </w:rPr>
        <w:t>，</w:t>
      </w:r>
      <w:r>
        <w:rPr>
          <w:rFonts w:hint="eastAsia" w:ascii="仿宋_GB2312" w:eastAsia="仿宋_GB2312"/>
          <w:sz w:val="32"/>
          <w:szCs w:val="32"/>
        </w:rPr>
        <w:t>加快构建现代化产业体系。以十六个重点产业链为引领，做长做大做强产业链。</w:t>
      </w:r>
      <w:bookmarkStart w:id="1" w:name="_Hlk170061769"/>
      <w:r>
        <w:rPr>
          <w:rFonts w:hint="eastAsia" w:ascii="仿宋_GB2312" w:eastAsia="仿宋_GB2312"/>
          <w:sz w:val="32"/>
          <w:szCs w:val="32"/>
        </w:rPr>
        <w:t>坚决遏制高耗能、高排放、低水平项目盲目上马，加速淘汰低效落后产能。加快传统产业智能化、绿色化、低碳化、融合化转型升级。提高产业园区和产业集群绿色循环化水平，持续打造生态园区、绿色园区、绿色工厂。</w:t>
      </w:r>
      <w:bookmarkEnd w:id="1"/>
      <w:r>
        <w:rPr>
          <w:rFonts w:hint="eastAsia" w:ascii="仿宋_GB2312" w:eastAsia="仿宋_GB2312"/>
          <w:sz w:val="32"/>
          <w:szCs w:val="32"/>
        </w:rPr>
        <w:t>大力发展战略性新兴产业、高技术产业、绿色环保产业、现代服务业。</w:t>
      </w:r>
    </w:p>
    <w:p w14:paraId="0D643C62">
      <w:pPr>
        <w:spacing w:after="0" w:line="560" w:lineRule="exact"/>
        <w:ind w:firstLine="643" w:firstLineChars="200"/>
        <w:jc w:val="both"/>
        <w:outlineLvl w:val="2"/>
        <w:rPr>
          <w:rFonts w:ascii="楷体_GB2312" w:hAnsi="黑体" w:eastAsia="楷体_GB2312" w:cs="黑体"/>
          <w:kern w:val="32"/>
          <w:sz w:val="32"/>
          <w:szCs w:val="32"/>
        </w:rPr>
      </w:pPr>
      <w:r>
        <w:rPr>
          <w:rFonts w:hint="eastAsia" w:ascii="仿宋_GB2312" w:hAnsi="仿宋_GB2312" w:eastAsia="仿宋_GB2312" w:cs="仿宋_GB2312"/>
          <w:b/>
          <w:bCs/>
          <w:sz w:val="32"/>
          <w:szCs w:val="32"/>
        </w:rPr>
        <w:t>3.积极稳妥推进碳达峰碳中和。</w:t>
      </w:r>
      <w:r>
        <w:rPr>
          <w:rFonts w:hint="eastAsia" w:ascii="Times New Roman" w:hAnsi="Times New Roman" w:eastAsia="仿宋_GB2312" w:cs="Times New Roman"/>
          <w:spacing w:val="2"/>
          <w:sz w:val="32"/>
          <w:szCs w:val="32"/>
        </w:rPr>
        <w:t>扎实推进碳达峰试点建设。加快推动产业、能源、城市、社会全方面绿色低碳转型，打造国内领先、国际知名的绿色低碳高质量发展示范城市。加快建设长岛国际零碳岛。大力推行大宗货物“公转铁”</w:t>
      </w:r>
      <w:bookmarkStart w:id="18" w:name="_GoBack"/>
      <w:bookmarkEnd w:id="18"/>
      <w:r>
        <w:rPr>
          <w:rFonts w:hint="eastAsia" w:ascii="Times New Roman" w:hAnsi="Times New Roman" w:eastAsia="仿宋_GB2312" w:cs="Times New Roman"/>
          <w:spacing w:val="2"/>
          <w:sz w:val="32"/>
          <w:szCs w:val="32"/>
        </w:rPr>
        <w:t>“公转水”，实施支线铁路进港入园工程。加强新能源车船推广</w:t>
      </w:r>
      <w:r>
        <w:rPr>
          <w:rFonts w:hint="eastAsia" w:ascii="Times New Roman" w:hAnsi="Times New Roman" w:eastAsia="仿宋_GB2312" w:cs="Times New Roman"/>
          <w:sz w:val="32"/>
          <w:szCs w:val="32"/>
          <w:shd w:val="clear" w:color="auto" w:fill="FFFFFF"/>
        </w:rPr>
        <w:t>。加快港口-码头岸电设施建设。</w:t>
      </w:r>
      <w:r>
        <w:rPr>
          <w:rFonts w:hint="eastAsia" w:ascii="仿宋_GB2312" w:eastAsia="仿宋_GB2312"/>
          <w:sz w:val="32"/>
          <w:szCs w:val="32"/>
        </w:rPr>
        <w:t>开展多领域、多层次</w:t>
      </w:r>
      <w:bookmarkStart w:id="2" w:name="_Hlk157095590"/>
      <w:r>
        <w:rPr>
          <w:rFonts w:hint="eastAsia" w:ascii="仿宋_GB2312" w:eastAsia="仿宋_GB2312"/>
          <w:sz w:val="32"/>
          <w:szCs w:val="32"/>
        </w:rPr>
        <w:t>减污降碳协同创新试点</w:t>
      </w:r>
      <w:bookmarkEnd w:id="2"/>
      <w:r>
        <w:rPr>
          <w:rFonts w:hint="eastAsia" w:ascii="仿宋_GB2312" w:eastAsia="仿宋_GB2312"/>
          <w:sz w:val="32"/>
          <w:szCs w:val="32"/>
        </w:rPr>
        <w:t>。开展石化化工、建材、有色金属等重点行业项目和产业园区规划环评碳排放影响评价。编制大气污染物与温室气体融合排放清单，探索开展甲烷等其他非二氧化碳温室气体排放控制。稳步推进能耗双控转向碳排放总量和强度双控。积极参与全国碳市场建设。</w:t>
      </w:r>
    </w:p>
    <w:p w14:paraId="2B0FC468">
      <w:pPr>
        <w:spacing w:after="0" w:line="560" w:lineRule="exact"/>
        <w:ind w:firstLine="643" w:firstLineChars="200"/>
        <w:jc w:val="both"/>
        <w:outlineLvl w:val="2"/>
        <w:rPr>
          <w:rFonts w:ascii="楷体_GB2312" w:hAnsi="黑体" w:eastAsia="楷体_GB2312" w:cs="黑体"/>
          <w:kern w:val="32"/>
          <w:sz w:val="32"/>
          <w:szCs w:val="32"/>
        </w:rPr>
      </w:pPr>
      <w:r>
        <w:rPr>
          <w:rFonts w:hint="eastAsia" w:ascii="仿宋_GB2312" w:hAnsi="仿宋_GB2312" w:eastAsia="仿宋_GB2312" w:cs="仿宋_GB2312"/>
          <w:b/>
          <w:bCs/>
          <w:sz w:val="32"/>
          <w:szCs w:val="32"/>
        </w:rPr>
        <w:t>4.强化国土空间开发保护。</w:t>
      </w:r>
      <w:r>
        <w:rPr>
          <w:rFonts w:hint="eastAsia" w:ascii="仿宋_GB2312" w:eastAsia="仿宋_GB2312"/>
          <w:sz w:val="32"/>
          <w:szCs w:val="32"/>
        </w:rPr>
        <w:t>构建“一心、两带、五廊、多节点”的市域生态空间结构。严格落实生态保护红线管理要求，强化生态保护红线生态破坏问题执法监管和保护修复。落实最严格的耕地保护制度，持续推动高标准农田建设。优化城镇体系格局，严格管控城镇开发边界。强化河湖水域岸线空间管控、水土保持空间管控和海洋、海岸带国土空间管控。严格落实生态环境分区管控和规划环评制度。</w:t>
      </w:r>
    </w:p>
    <w:p w14:paraId="62D32A9A">
      <w:pPr>
        <w:spacing w:after="0" w:line="560" w:lineRule="exact"/>
        <w:ind w:firstLine="643" w:firstLineChars="200"/>
        <w:jc w:val="both"/>
        <w:outlineLvl w:val="2"/>
        <w:rPr>
          <w:rFonts w:ascii="Times New Roman" w:hAnsi="Times New Roman" w:eastAsia="仿宋_GB2312" w:cs="Times New Roman"/>
          <w:spacing w:val="2"/>
          <w:sz w:val="32"/>
          <w:szCs w:val="32"/>
        </w:rPr>
      </w:pPr>
      <w:r>
        <w:rPr>
          <w:rFonts w:hint="eastAsia" w:ascii="仿宋_GB2312" w:hAnsi="仿宋_GB2312" w:eastAsia="仿宋_GB2312" w:cs="仿宋_GB2312"/>
          <w:b/>
          <w:bCs/>
          <w:sz w:val="32"/>
          <w:szCs w:val="32"/>
        </w:rPr>
        <w:t>5.促进资源节约集约利用。</w:t>
      </w:r>
      <w:r>
        <w:rPr>
          <w:rFonts w:hint="eastAsia" w:ascii="Times New Roman" w:hAnsi="Times New Roman" w:eastAsia="仿宋_GB2312" w:cs="Times New Roman"/>
          <w:spacing w:val="2"/>
          <w:sz w:val="32"/>
          <w:szCs w:val="32"/>
        </w:rPr>
        <w:t>加快推进“两高”行业能效水平改造提升。强化</w:t>
      </w:r>
      <w:r>
        <w:rPr>
          <w:rFonts w:ascii="Times New Roman" w:hAnsi="Times New Roman" w:eastAsia="仿宋_GB2312" w:cs="Times New Roman"/>
          <w:spacing w:val="2"/>
          <w:sz w:val="32"/>
          <w:szCs w:val="32"/>
        </w:rPr>
        <w:t>重点用能单位节能监管</w:t>
      </w:r>
      <w:r>
        <w:rPr>
          <w:rFonts w:hint="eastAsia" w:ascii="Times New Roman" w:hAnsi="Times New Roman" w:eastAsia="仿宋_GB2312" w:cs="Times New Roman"/>
          <w:spacing w:val="2"/>
          <w:sz w:val="32"/>
          <w:szCs w:val="32"/>
        </w:rPr>
        <w:t>。推进城市低碳智慧供用能系统建设。加强农业、工业、城镇等重点领域节水，推动污水资源化利用，加强城镇再生水、矿坑尾水等再生水利用，推进海水淡化水配置利用。开展工业用地利用情况调查，加强节约集约用地评价，推广应用节地技术和模式。大力发展循环经济，构建完善废旧物资循环利用体系。</w:t>
      </w:r>
    </w:p>
    <w:p w14:paraId="59A1CE7E">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（二）环境质量持续改善行动</w:t>
      </w:r>
    </w:p>
    <w:p w14:paraId="74AE5385">
      <w:pPr>
        <w:spacing w:after="0" w:line="560" w:lineRule="exact"/>
        <w:ind w:firstLine="643" w:firstLineChars="200"/>
        <w:jc w:val="both"/>
        <w:outlineLvl w:val="2"/>
        <w:rPr>
          <w:rFonts w:ascii="Times New Roman" w:hAnsi="Times New Roman" w:eastAsia="仿宋_GB2312" w:cs="Times New Roman"/>
          <w:color w:val="000000"/>
          <w:kern w:val="32"/>
          <w:sz w:val="32"/>
          <w:szCs w:val="32"/>
        </w:rPr>
      </w:pPr>
      <w:r>
        <w:rPr>
          <w:rFonts w:hint="eastAsia" w:ascii="仿宋_GB2312" w:hAnsi="仿宋_GB2312" w:eastAsia="仿宋_GB2312" w:cs="仿宋_GB2312"/>
          <w:b/>
          <w:bCs/>
          <w:sz w:val="32"/>
          <w:szCs w:val="32"/>
        </w:rPr>
        <w:t>6.协同治理呈现美丽蓝天。</w:t>
      </w:r>
      <w:r>
        <w:rPr>
          <w:rFonts w:hint="eastAsia" w:ascii="仿宋_GB2312" w:hAnsi="仿宋_GB2312" w:eastAsia="仿宋_GB2312" w:cs="仿宋_GB2312"/>
          <w:sz w:val="32"/>
          <w:szCs w:val="32"/>
        </w:rPr>
        <w:t>建</w:t>
      </w:r>
      <w:r>
        <w:rPr>
          <w:rFonts w:ascii="Times New Roman" w:hAnsi="Times New Roman" w:eastAsia="仿宋_GB2312" w:cs="Times New Roman"/>
          <w:color w:val="000000"/>
          <w:kern w:val="32"/>
          <w:sz w:val="32"/>
          <w:szCs w:val="32"/>
        </w:rPr>
        <w:t>立健全大气污染精细化管控体系。加强多污染物协同控制和区域协同治理，强化分区分时分类差异化精细化协同管控。</w:t>
      </w:r>
      <w:r>
        <w:rPr>
          <w:rFonts w:hint="eastAsia" w:ascii="Times New Roman" w:hAnsi="Times New Roman" w:eastAsia="仿宋_GB2312" w:cs="Times New Roman"/>
          <w:color w:val="000000"/>
          <w:kern w:val="32"/>
          <w:sz w:val="32"/>
          <w:szCs w:val="32"/>
        </w:rPr>
        <w:t>加快实施城市低碳清洁供暖。</w:t>
      </w:r>
      <w:r>
        <w:rPr>
          <w:rFonts w:ascii="Times New Roman" w:hAnsi="Times New Roman" w:eastAsia="仿宋_GB2312" w:cs="Times New Roman"/>
          <w:color w:val="000000"/>
          <w:kern w:val="32"/>
          <w:sz w:val="32"/>
          <w:szCs w:val="32"/>
        </w:rPr>
        <w:t>优化交通运输结构</w:t>
      </w:r>
      <w:r>
        <w:rPr>
          <w:rFonts w:hint="eastAsia" w:ascii="Times New Roman" w:hAnsi="Times New Roman" w:eastAsia="仿宋_GB2312" w:cs="Times New Roman"/>
          <w:color w:val="000000"/>
          <w:kern w:val="32"/>
          <w:sz w:val="32"/>
          <w:szCs w:val="32"/>
        </w:rPr>
        <w:t>。</w:t>
      </w:r>
      <w:r>
        <w:rPr>
          <w:rFonts w:ascii="Times New Roman" w:hAnsi="Times New Roman" w:eastAsia="仿宋_GB2312" w:cs="Times New Roman"/>
          <w:color w:val="000000"/>
          <w:kern w:val="32"/>
          <w:sz w:val="32"/>
          <w:szCs w:val="32"/>
        </w:rPr>
        <w:t>加强餐饮油烟、扬尘源等面源污染精细化</w:t>
      </w:r>
      <w:r>
        <w:rPr>
          <w:rFonts w:hint="eastAsia" w:ascii="Times New Roman" w:hAnsi="Times New Roman" w:eastAsia="仿宋_GB2312" w:cs="Times New Roman"/>
          <w:color w:val="000000"/>
          <w:kern w:val="32"/>
          <w:sz w:val="32"/>
          <w:szCs w:val="32"/>
        </w:rPr>
        <w:t>管控。</w:t>
      </w:r>
      <w:r>
        <w:rPr>
          <w:rFonts w:ascii="Times New Roman" w:hAnsi="Times New Roman" w:eastAsia="仿宋_GB2312" w:cs="Times New Roman"/>
          <w:color w:val="000000"/>
          <w:kern w:val="32"/>
          <w:sz w:val="32"/>
          <w:szCs w:val="32"/>
        </w:rPr>
        <w:t>加强对挥发性有机物、氮氧化物等臭氧前体物排放监管</w:t>
      </w:r>
      <w:r>
        <w:rPr>
          <w:rFonts w:hint="eastAsia" w:ascii="Times New Roman" w:hAnsi="Times New Roman" w:eastAsia="仿宋_GB2312" w:cs="Times New Roman"/>
          <w:color w:val="000000"/>
          <w:kern w:val="32"/>
          <w:sz w:val="32"/>
          <w:szCs w:val="32"/>
        </w:rPr>
        <w:t>。落实大气污染区域协同防治，积极参与大气污染联防联控和重污染天气应急联动，开展区域大气污染专项治理和联合执法。</w:t>
      </w:r>
    </w:p>
    <w:p w14:paraId="683097A0">
      <w:pPr>
        <w:spacing w:after="0" w:line="560" w:lineRule="exact"/>
        <w:ind w:firstLine="643" w:firstLineChars="200"/>
        <w:jc w:val="both"/>
        <w:outlineLvl w:val="2"/>
        <w:rPr>
          <w:rFonts w:ascii="Times New Roman" w:hAnsi="Times New Roman" w:eastAsia="仿宋_GB2312" w:cs="Times New Roman"/>
          <w:color w:val="000000"/>
          <w:kern w:val="32"/>
          <w:sz w:val="32"/>
          <w:szCs w:val="32"/>
        </w:rPr>
      </w:pPr>
      <w:r>
        <w:rPr>
          <w:rFonts w:hint="eastAsia" w:ascii="仿宋_GB2312" w:hAnsi="仿宋_GB2312" w:eastAsia="仿宋_GB2312" w:cs="仿宋_GB2312"/>
          <w:b/>
          <w:bCs/>
          <w:sz w:val="32"/>
          <w:szCs w:val="32"/>
        </w:rPr>
        <w:t>7.三水统筹实现人水和谐。</w:t>
      </w:r>
      <w:r>
        <w:rPr>
          <w:rFonts w:hint="eastAsia" w:ascii="仿宋_GB2312" w:hAnsi="仿宋_GB2312" w:eastAsia="仿宋_GB2312" w:cs="仿宋_GB2312"/>
          <w:sz w:val="32"/>
          <w:szCs w:val="32"/>
        </w:rPr>
        <w:t>优</w:t>
      </w:r>
      <w:r>
        <w:rPr>
          <w:rFonts w:hint="eastAsia" w:ascii="Times New Roman" w:hAnsi="Times New Roman" w:eastAsia="仿宋_GB2312" w:cs="Times New Roman"/>
          <w:color w:val="000000"/>
          <w:kern w:val="32"/>
          <w:sz w:val="32"/>
          <w:szCs w:val="32"/>
        </w:rPr>
        <w:t>化非常规水资源梯级、安全利用，将非常规水源纳入水资源统一配置。</w:t>
      </w:r>
      <w:r>
        <w:rPr>
          <w:rFonts w:ascii="Times New Roman" w:hAnsi="Times New Roman" w:eastAsia="仿宋_GB2312" w:cs="Times New Roman"/>
          <w:color w:val="000000"/>
          <w:kern w:val="32"/>
          <w:sz w:val="32"/>
          <w:szCs w:val="32"/>
        </w:rPr>
        <w:t>优化健康城水网络格局，构筑“两干五库七脉支撑、三区五源五水统筹”的全市现代水网格局。深化水环境治理，完善水环境治理支撑体系，以大沽夹河为重点，推进市区水务一体化整合，</w:t>
      </w:r>
      <w:r>
        <w:rPr>
          <w:rFonts w:hint="eastAsia" w:ascii="Times New Roman" w:hAnsi="Times New Roman" w:eastAsia="仿宋_GB2312" w:cs="Times New Roman"/>
          <w:color w:val="000000"/>
          <w:kern w:val="32"/>
          <w:sz w:val="32"/>
          <w:szCs w:val="32"/>
        </w:rPr>
        <w:t>完善治水市级统筹机制。加强污泥无害化处理和资源化利用，建设污水处理绿色低碳标杆厂。深入推进“母亲河”全流域治理模式</w:t>
      </w:r>
      <w:r>
        <w:rPr>
          <w:rFonts w:ascii="Times New Roman" w:hAnsi="Times New Roman" w:eastAsia="仿宋_GB2312" w:cs="Times New Roman"/>
          <w:color w:val="000000"/>
          <w:kern w:val="32"/>
          <w:sz w:val="32"/>
          <w:szCs w:val="32"/>
        </w:rPr>
        <w:t>。开展美丽河湖保护与建设。强化水生态保护，城市建成区有条件的地下河道恢复原貌</w:t>
      </w:r>
      <w:r>
        <w:rPr>
          <w:rFonts w:hint="eastAsia" w:ascii="Times New Roman" w:hAnsi="Times New Roman" w:eastAsia="仿宋_GB2312" w:cs="Times New Roman"/>
          <w:color w:val="000000"/>
          <w:kern w:val="32"/>
          <w:sz w:val="32"/>
          <w:szCs w:val="32"/>
        </w:rPr>
        <w:t>。</w:t>
      </w:r>
    </w:p>
    <w:p w14:paraId="35F3FEE6">
      <w:pPr>
        <w:spacing w:after="0" w:line="560" w:lineRule="exact"/>
        <w:ind w:firstLine="643" w:firstLineChars="200"/>
        <w:jc w:val="both"/>
        <w:outlineLvl w:val="2"/>
        <w:rPr>
          <w:rFonts w:ascii="Times New Roman" w:hAnsi="Times New Roman" w:eastAsia="仿宋_GB2312" w:cs="Times New Roman"/>
          <w:color w:val="auto"/>
          <w:kern w:val="32"/>
          <w:sz w:val="32"/>
          <w:szCs w:val="32"/>
        </w:rPr>
      </w:pPr>
      <w:r>
        <w:rPr>
          <w:rFonts w:hint="eastAsia" w:ascii="仿宋_GB2312" w:hAnsi="仿宋_GB2312" w:eastAsia="仿宋_GB2312" w:cs="仿宋_GB2312"/>
          <w:b/>
          <w:bCs/>
          <w:sz w:val="32"/>
          <w:szCs w:val="32"/>
        </w:rPr>
        <w:t>8.系统防控守护洁净沃土。</w:t>
      </w:r>
      <w:r>
        <w:rPr>
          <w:rFonts w:hint="eastAsia" w:ascii="仿宋_GB2312" w:hAnsi="仿宋_GB2312" w:eastAsia="仿宋_GB2312" w:cs="仿宋_GB2312"/>
          <w:sz w:val="32"/>
          <w:szCs w:val="32"/>
        </w:rPr>
        <w:t>推</w:t>
      </w:r>
      <w:r>
        <w:rPr>
          <w:rFonts w:hint="eastAsia" w:ascii="Times New Roman" w:hAnsi="Times New Roman" w:eastAsia="仿宋_GB2312" w:cs="Times New Roman"/>
          <w:color w:val="000000"/>
          <w:kern w:val="32"/>
          <w:sz w:val="32"/>
          <w:szCs w:val="32"/>
        </w:rPr>
        <w:t>进土壤污染源头全防全控，有效切断土壤各类污染源，扎实推进受污染耕地安全利用和风险管控。加快黄金冶炼尾渣综合处理技术研发进程，推进资源化利用项目实施。选择耕地镉等重金属污染问题突出的区市，开展耕地土壤环境质量监督性监测与评估，对有污染的耕地要溯源</w:t>
      </w:r>
      <w:r>
        <w:rPr>
          <w:rFonts w:hint="eastAsia" w:ascii="Times New Roman" w:hAnsi="Times New Roman" w:eastAsia="仿宋_GB2312" w:cs="Times New Roman"/>
          <w:color w:val="auto"/>
          <w:kern w:val="32"/>
          <w:sz w:val="32"/>
          <w:szCs w:val="32"/>
        </w:rPr>
        <w:t>制定断源措施。开展化学品生产企业、尾矿库、矿山开采区地下水环境状况调查评估。统筹推进土壤和地下水风险管控和修复，探索地下水治理修复模式。</w:t>
      </w:r>
    </w:p>
    <w:p w14:paraId="5F8D3DFE">
      <w:pPr>
        <w:spacing w:after="0" w:line="560" w:lineRule="exact"/>
        <w:ind w:firstLine="640" w:firstLineChars="200"/>
        <w:outlineLvl w:val="1"/>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（三）现代海洋示范建设行动</w:t>
      </w:r>
    </w:p>
    <w:p w14:paraId="7B32622B">
      <w:pPr>
        <w:spacing w:after="0" w:line="560" w:lineRule="exact"/>
        <w:ind w:firstLine="643" w:firstLineChars="200"/>
        <w:jc w:val="both"/>
        <w:outlineLvl w:val="2"/>
        <w:rPr>
          <w:rFonts w:ascii="Times New Roman" w:hAnsi="Times New Roman" w:eastAsia="楷体_GB2312" w:cs="Times New Roman"/>
          <w:color w:val="auto"/>
          <w:kern w:val="32"/>
          <w:sz w:val="32"/>
          <w:szCs w:val="32"/>
        </w:rPr>
      </w:pPr>
      <w:bookmarkStart w:id="3" w:name="_Hlk170748084"/>
      <w:r>
        <w:rPr>
          <w:rFonts w:hint="eastAsia" w:ascii="仿宋_GB2312" w:hAnsi="仿宋_GB2312" w:eastAsia="仿宋_GB2312" w:cs="仿宋_GB2312"/>
          <w:b/>
          <w:bCs/>
          <w:color w:val="auto"/>
          <w:sz w:val="32"/>
          <w:szCs w:val="32"/>
        </w:rPr>
        <w:t>9.加强海洋生态综合整治修复</w:t>
      </w:r>
      <w:bookmarkEnd w:id="3"/>
      <w:r>
        <w:rPr>
          <w:rFonts w:hint="eastAsia" w:ascii="仿宋_GB2312" w:hAnsi="仿宋_GB2312" w:eastAsia="仿宋_GB2312" w:cs="仿宋_GB2312"/>
          <w:b/>
          <w:bCs/>
          <w:color w:val="auto"/>
          <w:sz w:val="32"/>
          <w:szCs w:val="32"/>
        </w:rPr>
        <w:t>。</w:t>
      </w:r>
      <w:r>
        <w:rPr>
          <w:rFonts w:ascii="Times New Roman" w:hAnsi="Times New Roman" w:eastAsia="仿宋_GB2312" w:cs="Times New Roman"/>
          <w:color w:val="auto"/>
          <w:kern w:val="32"/>
          <w:sz w:val="32"/>
          <w:szCs w:val="32"/>
        </w:rPr>
        <w:t>持续推进入海河流</w:t>
      </w:r>
      <w:r>
        <w:rPr>
          <w:rFonts w:hint="eastAsia" w:ascii="Times New Roman" w:hAnsi="Times New Roman" w:eastAsia="仿宋_GB2312" w:cs="Times New Roman"/>
          <w:strike w:val="0"/>
          <w:dstrike w:val="0"/>
          <w:color w:val="auto"/>
          <w:kern w:val="32"/>
          <w:sz w:val="32"/>
          <w:szCs w:val="32"/>
          <w:lang w:val="en-US" w:eastAsia="zh-CN"/>
        </w:rPr>
        <w:t>综合</w:t>
      </w:r>
      <w:r>
        <w:rPr>
          <w:rFonts w:ascii="Times New Roman" w:hAnsi="Times New Roman" w:eastAsia="仿宋_GB2312" w:cs="Times New Roman"/>
          <w:color w:val="auto"/>
          <w:kern w:val="32"/>
          <w:sz w:val="32"/>
          <w:szCs w:val="32"/>
        </w:rPr>
        <w:t>治理</w:t>
      </w:r>
      <w:r>
        <w:rPr>
          <w:rFonts w:hint="eastAsia" w:ascii="Times New Roman" w:hAnsi="Times New Roman" w:eastAsia="仿宋_GB2312" w:cs="Times New Roman"/>
          <w:color w:val="auto"/>
          <w:kern w:val="32"/>
          <w:sz w:val="32"/>
          <w:szCs w:val="32"/>
          <w:lang w:eastAsia="zh-CN"/>
        </w:rPr>
        <w:t>，</w:t>
      </w:r>
      <w:r>
        <w:rPr>
          <w:rFonts w:ascii="Times New Roman" w:hAnsi="Times New Roman" w:eastAsia="仿宋_GB2312" w:cs="Times New Roman"/>
          <w:color w:val="auto"/>
          <w:kern w:val="32"/>
          <w:sz w:val="32"/>
          <w:szCs w:val="32"/>
        </w:rPr>
        <w:t>加大</w:t>
      </w:r>
      <w:r>
        <w:rPr>
          <w:rFonts w:hint="eastAsia" w:ascii="Times New Roman" w:hAnsi="Times New Roman" w:eastAsia="仿宋_GB2312" w:cs="Times New Roman"/>
          <w:color w:val="auto"/>
          <w:kern w:val="32"/>
          <w:sz w:val="32"/>
          <w:szCs w:val="32"/>
          <w:lang w:val="en-US" w:eastAsia="zh-CN"/>
        </w:rPr>
        <w:t>沿海城镇</w:t>
      </w:r>
      <w:r>
        <w:rPr>
          <w:rFonts w:ascii="Times New Roman" w:hAnsi="Times New Roman" w:eastAsia="仿宋_GB2312" w:cs="Times New Roman"/>
          <w:color w:val="auto"/>
          <w:kern w:val="32"/>
          <w:sz w:val="32"/>
          <w:szCs w:val="32"/>
        </w:rPr>
        <w:t>污水处理、渔港商港修造船厂、海水养殖污染防治等工作力度</w:t>
      </w:r>
      <w:r>
        <w:rPr>
          <w:rFonts w:hint="eastAsia"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lang w:val="en-US" w:eastAsia="zh-CN"/>
        </w:rPr>
        <w:t>推动近海海域水质环境持续改善</w:t>
      </w:r>
      <w:r>
        <w:rPr>
          <w:rFonts w:ascii="Times New Roman" w:hAnsi="Times New Roman" w:eastAsia="仿宋_GB2312" w:cs="Times New Roman"/>
          <w:color w:val="auto"/>
          <w:kern w:val="32"/>
          <w:sz w:val="32"/>
          <w:szCs w:val="32"/>
        </w:rPr>
        <w:t>。建立健全市级赤潮、绿潮综合处置工作机制。构建整岛与局部区域保护相结合的海岛保护体系</w:t>
      </w:r>
      <w:r>
        <w:rPr>
          <w:rFonts w:hint="eastAsia" w:ascii="Times New Roman" w:hAnsi="Times New Roman" w:eastAsia="仿宋_GB2312" w:cs="Times New Roman"/>
          <w:color w:val="auto"/>
          <w:kern w:val="32"/>
          <w:sz w:val="32"/>
          <w:szCs w:val="32"/>
        </w:rPr>
        <w:t>。</w:t>
      </w:r>
      <w:r>
        <w:rPr>
          <w:rFonts w:ascii="Times New Roman" w:hAnsi="Times New Roman" w:eastAsia="仿宋_GB2312" w:cs="Times New Roman"/>
          <w:color w:val="auto"/>
          <w:kern w:val="32"/>
          <w:sz w:val="32"/>
          <w:szCs w:val="32"/>
        </w:rPr>
        <w:t>严格岸线开发管控，每季度开展自然岸线动态监测。构建海岸带生物多样性保护网络</w:t>
      </w:r>
      <w:r>
        <w:rPr>
          <w:rFonts w:hint="eastAsia" w:ascii="Times New Roman" w:hAnsi="Times New Roman" w:eastAsia="仿宋_GB2312" w:cs="Times New Roman"/>
          <w:color w:val="auto"/>
          <w:kern w:val="32"/>
          <w:sz w:val="32"/>
          <w:szCs w:val="32"/>
        </w:rPr>
        <w:t>。</w:t>
      </w:r>
      <w:r>
        <w:rPr>
          <w:rFonts w:ascii="Times New Roman" w:hAnsi="Times New Roman" w:eastAsia="仿宋_GB2312" w:cs="Times New Roman"/>
          <w:color w:val="auto"/>
          <w:kern w:val="32"/>
          <w:sz w:val="32"/>
          <w:szCs w:val="32"/>
        </w:rPr>
        <w:t>建立健全海岸带分类分段管控和海岸退缩线制度。</w:t>
      </w:r>
      <w:r>
        <w:rPr>
          <w:rFonts w:hint="eastAsia" w:ascii="Times New Roman" w:hAnsi="Times New Roman" w:eastAsia="仿宋_GB2312" w:cs="Times New Roman"/>
          <w:color w:val="auto"/>
          <w:kern w:val="32"/>
          <w:sz w:val="32"/>
          <w:szCs w:val="32"/>
        </w:rPr>
        <w:t>构建海藻场和海草床，建设碳汇渔业实验区。发展“蓝色碳汇渔业”。</w:t>
      </w:r>
    </w:p>
    <w:p w14:paraId="45A512F8">
      <w:pPr>
        <w:spacing w:after="0" w:line="560" w:lineRule="exact"/>
        <w:ind w:firstLine="643" w:firstLineChars="200"/>
        <w:jc w:val="both"/>
        <w:outlineLvl w:val="2"/>
        <w:rPr>
          <w:rFonts w:ascii="Times New Roman" w:hAnsi="Times New Roman" w:eastAsia="仿宋_GB2312" w:cs="Times New Roman"/>
          <w:color w:val="auto"/>
          <w:kern w:val="32"/>
          <w:sz w:val="32"/>
          <w:szCs w:val="32"/>
        </w:rPr>
      </w:pPr>
      <w:bookmarkStart w:id="4" w:name="_Hlk170748090"/>
      <w:r>
        <w:rPr>
          <w:rFonts w:hint="eastAsia" w:ascii="仿宋_GB2312" w:hAnsi="仿宋_GB2312" w:eastAsia="仿宋_GB2312" w:cs="仿宋_GB2312"/>
          <w:b/>
          <w:bCs/>
          <w:color w:val="auto"/>
          <w:sz w:val="32"/>
          <w:szCs w:val="32"/>
        </w:rPr>
        <w:t>10.全力推进美丽海湾建设</w:t>
      </w:r>
      <w:bookmarkEnd w:id="4"/>
      <w:r>
        <w:rPr>
          <w:rFonts w:hint="eastAsia" w:ascii="仿宋_GB2312" w:hAnsi="仿宋_GB2312" w:eastAsia="仿宋_GB2312" w:cs="仿宋_GB2312"/>
          <w:b/>
          <w:bCs/>
          <w:color w:val="auto"/>
          <w:sz w:val="32"/>
          <w:szCs w:val="32"/>
        </w:rPr>
        <w:t>。</w:t>
      </w:r>
      <w:r>
        <w:rPr>
          <w:rFonts w:hint="eastAsia" w:ascii="仿宋_GB2312" w:hAnsi="Times New Roman" w:eastAsia="仿宋_GB2312" w:cs="Times New Roman"/>
          <w:color w:val="auto"/>
          <w:kern w:val="32"/>
          <w:sz w:val="32"/>
          <w:szCs w:val="32"/>
        </w:rPr>
        <w:t>“一湾一策”</w:t>
      </w:r>
      <w:r>
        <w:rPr>
          <w:rFonts w:hint="eastAsia" w:ascii="仿宋_GB2312" w:hAnsi="Times New Roman" w:eastAsia="仿宋_GB2312" w:cs="Times New Roman"/>
          <w:color w:val="auto"/>
          <w:kern w:val="32"/>
          <w:sz w:val="32"/>
          <w:szCs w:val="32"/>
          <w:lang w:val="en-US" w:eastAsia="zh-CN"/>
        </w:rPr>
        <w:t>推进美丽</w:t>
      </w:r>
      <w:r>
        <w:rPr>
          <w:rFonts w:hint="eastAsia" w:ascii="仿宋_GB2312" w:hAnsi="Times New Roman" w:eastAsia="仿宋_GB2312" w:cs="Times New Roman"/>
          <w:color w:val="auto"/>
          <w:kern w:val="32"/>
          <w:sz w:val="32"/>
          <w:szCs w:val="32"/>
        </w:rPr>
        <w:t>海湾建设提质增效</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梯次推进四十里湾、龙口岸段、</w:t>
      </w:r>
      <w:r>
        <w:rPr>
          <w:rFonts w:hint="eastAsia" w:ascii="仿宋_GB2312" w:hAnsi="Times New Roman" w:eastAsia="仿宋_GB2312" w:cs="Times New Roman"/>
          <w:color w:val="auto"/>
          <w:kern w:val="32"/>
          <w:sz w:val="32"/>
          <w:szCs w:val="32"/>
        </w:rPr>
        <w:t>蓬莱湾区、海阳岸段</w:t>
      </w:r>
      <w:r>
        <w:rPr>
          <w:rFonts w:hint="eastAsia" w:ascii="仿宋_GB2312" w:hAnsi="Times New Roman" w:eastAsia="仿宋_GB2312" w:cs="Times New Roman"/>
          <w:color w:val="auto"/>
          <w:kern w:val="32"/>
          <w:sz w:val="32"/>
          <w:szCs w:val="32"/>
          <w:lang w:val="en-US" w:eastAsia="zh-CN"/>
        </w:rPr>
        <w:t>等</w:t>
      </w:r>
      <w:r>
        <w:rPr>
          <w:rFonts w:hint="eastAsia" w:ascii="仿宋_GB2312" w:hAnsi="Times New Roman" w:eastAsia="仿宋_GB2312" w:cs="Times New Roman"/>
          <w:color w:val="auto"/>
          <w:kern w:val="32"/>
          <w:sz w:val="32"/>
          <w:szCs w:val="32"/>
        </w:rPr>
        <w:t>美丽</w:t>
      </w:r>
      <w:r>
        <w:rPr>
          <w:rFonts w:hint="eastAsia" w:ascii="仿宋_GB2312" w:hAnsi="Times New Roman" w:eastAsia="仿宋_GB2312" w:cs="Times New Roman"/>
          <w:color w:val="auto"/>
          <w:kern w:val="32"/>
          <w:sz w:val="32"/>
          <w:szCs w:val="32"/>
          <w:lang w:val="en-US" w:eastAsia="zh-CN"/>
        </w:rPr>
        <w:t>海湾建设工作，稳步实现美丽海湾建设全覆盖。</w:t>
      </w:r>
      <w:r>
        <w:rPr>
          <w:rFonts w:ascii="Times New Roman" w:hAnsi="Times New Roman" w:eastAsia="仿宋_GB2312" w:cs="Times New Roman"/>
          <w:color w:val="auto"/>
          <w:kern w:val="32"/>
          <w:sz w:val="32"/>
          <w:szCs w:val="32"/>
        </w:rPr>
        <w:t>持续</w:t>
      </w:r>
      <w:r>
        <w:rPr>
          <w:rFonts w:hint="eastAsia" w:ascii="Times New Roman" w:hAnsi="Times New Roman" w:eastAsia="仿宋_GB2312" w:cs="Times New Roman"/>
          <w:color w:val="auto"/>
          <w:kern w:val="32"/>
          <w:sz w:val="32"/>
          <w:szCs w:val="32"/>
          <w:lang w:val="en-US" w:eastAsia="zh-CN"/>
        </w:rPr>
        <w:t>实施</w:t>
      </w:r>
      <w:r>
        <w:rPr>
          <w:rFonts w:hint="eastAsia" w:ascii="Times New Roman" w:hAnsi="Times New Roman" w:eastAsia="仿宋_GB2312" w:cs="Times New Roman"/>
          <w:color w:val="auto"/>
          <w:kern w:val="32"/>
          <w:sz w:val="32"/>
          <w:szCs w:val="32"/>
          <w:lang w:eastAsia="zh-CN"/>
        </w:rPr>
        <w:t>“</w:t>
      </w:r>
      <w:r>
        <w:rPr>
          <w:rFonts w:ascii="Times New Roman" w:hAnsi="Times New Roman" w:eastAsia="仿宋_GB2312" w:cs="Times New Roman"/>
          <w:color w:val="auto"/>
          <w:kern w:val="32"/>
          <w:sz w:val="32"/>
          <w:szCs w:val="32"/>
        </w:rPr>
        <w:t>净滩行动</w:t>
      </w:r>
      <w:r>
        <w:rPr>
          <w:rFonts w:hint="eastAsia"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lang w:val="en-US" w:eastAsia="zh-CN"/>
        </w:rPr>
        <w:t>开展海洋垃圾综合利用试点。不断提升入海排污口监管水平，推进入海排污口规范化管理。持续开展“碧海”“</w:t>
      </w:r>
      <w:r>
        <w:rPr>
          <w:rFonts w:hint="eastAsia" w:ascii="Times New Roman" w:hAnsi="Times New Roman" w:eastAsia="仿宋_GB2312" w:cs="Times New Roman"/>
          <w:color w:val="auto"/>
          <w:kern w:val="32"/>
          <w:sz w:val="32"/>
          <w:szCs w:val="32"/>
        </w:rPr>
        <w:t>绿盾”专项</w:t>
      </w:r>
      <w:r>
        <w:rPr>
          <w:rFonts w:ascii="Times New Roman" w:hAnsi="Times New Roman" w:eastAsia="仿宋_GB2312" w:cs="Times New Roman"/>
          <w:color w:val="auto"/>
          <w:kern w:val="32"/>
          <w:sz w:val="32"/>
          <w:szCs w:val="32"/>
        </w:rPr>
        <w:t>执法、陆源直排海污染源综合执法等执法监管行动。</w:t>
      </w:r>
      <w:r>
        <w:rPr>
          <w:rFonts w:hint="eastAsia" w:ascii="Times New Roman" w:hAnsi="Times New Roman" w:eastAsia="仿宋_GB2312" w:cs="Times New Roman"/>
          <w:color w:val="auto"/>
          <w:kern w:val="32"/>
          <w:sz w:val="32"/>
          <w:szCs w:val="32"/>
        </w:rPr>
        <w:t>持续改善海水浴场和滨海旅游度假区环境，</w:t>
      </w:r>
      <w:r>
        <w:rPr>
          <w:rFonts w:ascii="Times New Roman" w:hAnsi="Times New Roman" w:eastAsia="仿宋_GB2312" w:cs="Times New Roman"/>
          <w:color w:val="auto"/>
          <w:kern w:val="32"/>
          <w:sz w:val="32"/>
          <w:szCs w:val="32"/>
        </w:rPr>
        <w:t>构建具有烟台特色的海洋文化景区、海洋文化产业。</w:t>
      </w:r>
      <w:bookmarkStart w:id="5" w:name="_Hlk170748095"/>
    </w:p>
    <w:p w14:paraId="25528871">
      <w:pPr>
        <w:spacing w:after="0" w:line="560" w:lineRule="exact"/>
        <w:ind w:firstLine="643" w:firstLineChars="200"/>
        <w:jc w:val="both"/>
        <w:outlineLvl w:val="2"/>
        <w:rPr>
          <w:rFonts w:ascii="仿宋_GB2312" w:eastAsia="仿宋_GB2312"/>
          <w:color w:val="auto"/>
          <w:sz w:val="32"/>
          <w:szCs w:val="32"/>
        </w:rPr>
      </w:pPr>
      <w:r>
        <w:rPr>
          <w:rFonts w:hint="eastAsia" w:ascii="仿宋_GB2312" w:hAnsi="仿宋_GB2312" w:eastAsia="仿宋_GB2312" w:cs="仿宋_GB2312"/>
          <w:b/>
          <w:bCs/>
          <w:color w:val="auto"/>
          <w:sz w:val="32"/>
          <w:szCs w:val="32"/>
        </w:rPr>
        <w:t>11.加快海洋产业高质量发展</w:t>
      </w:r>
      <w:bookmarkEnd w:id="5"/>
      <w:r>
        <w:rPr>
          <w:rFonts w:hint="eastAsia" w:ascii="仿宋_GB2312" w:hAnsi="仿宋_GB2312" w:eastAsia="仿宋_GB2312" w:cs="仿宋_GB2312"/>
          <w:b/>
          <w:bCs/>
          <w:color w:val="auto"/>
          <w:sz w:val="32"/>
          <w:szCs w:val="32"/>
        </w:rPr>
        <w:t>。</w:t>
      </w:r>
      <w:r>
        <w:rPr>
          <w:rFonts w:ascii="Times New Roman" w:hAnsi="Times New Roman" w:eastAsia="仿宋_GB2312" w:cs="Times New Roman"/>
          <w:color w:val="auto"/>
          <w:kern w:val="32"/>
          <w:sz w:val="32"/>
          <w:szCs w:val="32"/>
        </w:rPr>
        <w:t>推进海洋牧场与智慧渔业、科技研发、科普教育等功能有机结合，打造海洋牧场示范之城。启动集生产、经营、科普、观光于一体的休闲渔业基地建设</w:t>
      </w:r>
      <w:r>
        <w:rPr>
          <w:rFonts w:hint="eastAsia" w:ascii="Times New Roman" w:hAnsi="Times New Roman" w:eastAsia="仿宋_GB2312" w:cs="Times New Roman"/>
          <w:color w:val="auto"/>
          <w:kern w:val="32"/>
          <w:sz w:val="32"/>
          <w:szCs w:val="32"/>
        </w:rPr>
        <w:t>，打造养马岛、崆峒岛、芝罘岛、长岛的近海旅游岛链以及千里海岸观光廊道</w:t>
      </w:r>
      <w:r>
        <w:rPr>
          <w:rFonts w:ascii="Times New Roman" w:hAnsi="Times New Roman" w:eastAsia="仿宋_GB2312" w:cs="Times New Roman"/>
          <w:color w:val="auto"/>
          <w:kern w:val="32"/>
          <w:sz w:val="32"/>
          <w:szCs w:val="32"/>
        </w:rPr>
        <w:t>。高水平建设山东长岛“蓝色粮仓”海洋经济开发区。建设中国海洋科技集团北方总部，加强第七代超深水钻井平台、深远海养殖、海上风电等关键装备研发生产，</w:t>
      </w:r>
      <w:r>
        <w:rPr>
          <w:rFonts w:hint="eastAsia" w:ascii="Times New Roman" w:hAnsi="Times New Roman" w:eastAsia="仿宋_GB2312" w:cs="Times New Roman"/>
          <w:color w:val="auto"/>
          <w:kern w:val="32"/>
          <w:sz w:val="32"/>
          <w:szCs w:val="32"/>
        </w:rPr>
        <w:t>打</w:t>
      </w:r>
      <w:r>
        <w:rPr>
          <w:rFonts w:ascii="Times New Roman" w:hAnsi="Times New Roman" w:eastAsia="仿宋_GB2312" w:cs="Times New Roman"/>
          <w:color w:val="auto"/>
          <w:kern w:val="32"/>
          <w:sz w:val="32"/>
          <w:szCs w:val="32"/>
        </w:rPr>
        <w:t>造全球海工装备制造中心。有序开展龙口裕龙岛、万华蓬莱海水淡化项目示范，推进核心材料装备国产化。建设“透明海洋”，</w:t>
      </w:r>
      <w:r>
        <w:rPr>
          <w:rFonts w:hint="eastAsia" w:ascii="Times New Roman" w:hAnsi="Times New Roman" w:eastAsia="仿宋_GB2312" w:cs="Times New Roman"/>
          <w:color w:val="auto"/>
          <w:kern w:val="32"/>
          <w:sz w:val="32"/>
          <w:szCs w:val="32"/>
        </w:rPr>
        <w:t>争创海洋经济创新示范城市。打造国内一流的海洋生物医药产业基地</w:t>
      </w:r>
      <w:r>
        <w:rPr>
          <w:rFonts w:ascii="Times New Roman" w:hAnsi="Times New Roman" w:eastAsia="仿宋_GB2312" w:cs="Times New Roman"/>
          <w:color w:val="auto"/>
          <w:kern w:val="32"/>
          <w:sz w:val="32"/>
          <w:szCs w:val="32"/>
        </w:rPr>
        <w:t>。</w:t>
      </w:r>
    </w:p>
    <w:p w14:paraId="39E537B5">
      <w:pPr>
        <w:spacing w:after="0" w:line="560" w:lineRule="exact"/>
        <w:ind w:firstLine="640" w:firstLineChars="200"/>
        <w:outlineLvl w:val="1"/>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（四）生态系统保护修复行动</w:t>
      </w:r>
    </w:p>
    <w:p w14:paraId="52B4119D">
      <w:pPr>
        <w:spacing w:after="0" w:line="560" w:lineRule="exact"/>
        <w:ind w:firstLine="643" w:firstLineChars="200"/>
        <w:jc w:val="both"/>
        <w:outlineLvl w:val="2"/>
        <w:rPr>
          <w:rFonts w:ascii="仿宋_GB2312" w:eastAsia="仿宋_GB2312"/>
          <w:sz w:val="32"/>
          <w:szCs w:val="32"/>
        </w:rPr>
      </w:pPr>
      <w:bookmarkStart w:id="6" w:name="_Hlk170748121"/>
      <w:r>
        <w:rPr>
          <w:rFonts w:hint="eastAsia" w:ascii="仿宋_GB2312" w:hAnsi="仿宋_GB2312" w:eastAsia="仿宋_GB2312" w:cs="仿宋_GB2312"/>
          <w:b/>
          <w:bCs/>
          <w:color w:val="auto"/>
          <w:sz w:val="32"/>
          <w:szCs w:val="32"/>
        </w:rPr>
        <w:t>12.推进山水林田湖草沙一体化保护和系统治理</w:t>
      </w:r>
      <w:bookmarkEnd w:id="6"/>
      <w:r>
        <w:rPr>
          <w:rFonts w:hint="eastAsia" w:ascii="仿宋_GB2312" w:hAnsi="仿宋_GB2312" w:eastAsia="仿宋_GB2312" w:cs="仿宋_GB2312"/>
          <w:b/>
          <w:bCs/>
          <w:color w:val="auto"/>
          <w:sz w:val="32"/>
          <w:szCs w:val="32"/>
        </w:rPr>
        <w:t>。</w:t>
      </w:r>
      <w:r>
        <w:rPr>
          <w:rFonts w:hint="eastAsia" w:ascii="仿宋_GB2312" w:eastAsia="仿宋_GB2312"/>
          <w:color w:val="auto"/>
          <w:sz w:val="32"/>
          <w:szCs w:val="32"/>
        </w:rPr>
        <w:t>强化生态保护红线、自然保护地及其他生态重要区域保护。实行湿地分级管理制度。加强林业资源保护和发展力度。全面推进绿色矿山建设，加强历史遗留废弃矿山生态修复。加大水土流失综合防治力度。开展高质量国土绿化行动，实施森林可持续经营。加快实施生态修复重点工程。开展生态保护修复成效评估和生</w:t>
      </w:r>
      <w:r>
        <w:rPr>
          <w:rFonts w:hint="eastAsia" w:ascii="仿宋_GB2312" w:eastAsia="仿宋_GB2312"/>
          <w:sz w:val="32"/>
          <w:szCs w:val="32"/>
        </w:rPr>
        <w:t>态状况监测评估。持续推进“绿盾”自然保护地强化监督。开展生态系统碳汇能力巩固提升行动。</w:t>
      </w:r>
    </w:p>
    <w:p w14:paraId="26ABAAB1">
      <w:pPr>
        <w:spacing w:after="0" w:line="560" w:lineRule="exact"/>
        <w:ind w:firstLine="643" w:firstLineChars="200"/>
        <w:jc w:val="both"/>
        <w:outlineLvl w:val="2"/>
        <w:rPr>
          <w:rFonts w:ascii="仿宋_GB2312" w:eastAsia="仿宋_GB2312"/>
          <w:sz w:val="32"/>
          <w:szCs w:val="32"/>
        </w:rPr>
      </w:pPr>
      <w:bookmarkStart w:id="7" w:name="_Hlk170748126"/>
      <w:r>
        <w:rPr>
          <w:rFonts w:hint="eastAsia" w:ascii="仿宋_GB2312" w:hAnsi="仿宋_GB2312" w:eastAsia="仿宋_GB2312" w:cs="仿宋_GB2312"/>
          <w:b/>
          <w:bCs/>
          <w:sz w:val="32"/>
          <w:szCs w:val="32"/>
        </w:rPr>
        <w:t>13.加强生物多样性保护力度</w:t>
      </w:r>
      <w:bookmarkEnd w:id="7"/>
      <w:r>
        <w:rPr>
          <w:rFonts w:hint="eastAsia" w:ascii="仿宋_GB2312" w:hAnsi="仿宋_GB2312" w:eastAsia="仿宋_GB2312" w:cs="仿宋_GB2312"/>
          <w:b/>
          <w:bCs/>
          <w:sz w:val="32"/>
          <w:szCs w:val="32"/>
        </w:rPr>
        <w:t>。</w:t>
      </w:r>
      <w:r>
        <w:rPr>
          <w:rFonts w:hint="eastAsia" w:ascii="仿宋_GB2312" w:eastAsia="仿宋_GB2312"/>
          <w:sz w:val="32"/>
          <w:szCs w:val="32"/>
        </w:rPr>
        <w:t>持续提升生物多样性监测保护能力。在生物多样性保护优先区域组织开展生物多样性本底调查，逐步推动全域覆盖。建立生物多样性优先保护名单，开展长期动态监测。加大外来入侵物种管控和农业转基因生物安全的监督管理。确保“东亚—澳大利西亚”全球候鸟迁徙通道与候鸟停歇驿站的生态环境质量。持续优化就地保护体系，推动省级林木种质资源原地（异地）保存库工程。建设现代海洋牧场，修复重要物种栖息地，开展增殖放流。</w:t>
      </w:r>
    </w:p>
    <w:p w14:paraId="55BA98FD">
      <w:pPr>
        <w:spacing w:after="0" w:line="560" w:lineRule="exact"/>
        <w:ind w:firstLine="643" w:firstLineChars="200"/>
        <w:jc w:val="both"/>
        <w:outlineLvl w:val="2"/>
        <w:rPr>
          <w:rFonts w:ascii="仿宋_GB2312" w:eastAsia="仿宋_GB2312"/>
          <w:b/>
          <w:sz w:val="32"/>
          <w:szCs w:val="32"/>
        </w:rPr>
      </w:pPr>
      <w:bookmarkStart w:id="8" w:name="_Hlk170748131"/>
      <w:r>
        <w:rPr>
          <w:rFonts w:hint="eastAsia" w:ascii="仿宋_GB2312" w:hAnsi="仿宋_GB2312" w:eastAsia="仿宋_GB2312" w:cs="仿宋_GB2312"/>
          <w:b/>
          <w:bCs/>
          <w:sz w:val="32"/>
          <w:szCs w:val="32"/>
        </w:rPr>
        <w:t>14.探索生态产品价值实现新机制</w:t>
      </w:r>
      <w:bookmarkEnd w:id="8"/>
      <w:r>
        <w:rPr>
          <w:rFonts w:hint="eastAsia" w:ascii="仿宋_GB2312" w:hAnsi="仿宋_GB2312" w:eastAsia="仿宋_GB2312" w:cs="仿宋_GB2312"/>
          <w:b/>
          <w:bCs/>
          <w:sz w:val="32"/>
          <w:szCs w:val="32"/>
        </w:rPr>
        <w:t>。</w:t>
      </w:r>
      <w:r>
        <w:rPr>
          <w:rFonts w:hint="eastAsia" w:ascii="仿宋_GB2312" w:eastAsia="仿宋_GB2312"/>
          <w:sz w:val="32"/>
          <w:szCs w:val="32"/>
        </w:rPr>
        <w:t>做好国家生态产品价值实现机制试点。开展自然资源统一确权登记，建立权责明确的自然资源资产产权体系。开展生态产品基础信息调查，编制形成生态产品目录清单并动态更新。开展生态产品价值核算，全面摸清生态家底。在长岛、蓬莱、栖霞、福山、昆嵛山等地探索海洋、林业固碳增汇技术。提升生态产品经营开发水平，持续扩大农林水产品区域品牌培育，打造公用母品牌和企业子品牌体系。</w:t>
      </w:r>
      <w:r>
        <w:rPr>
          <w:rFonts w:ascii="仿宋_GB2312" w:eastAsia="仿宋_GB2312"/>
          <w:sz w:val="32"/>
          <w:szCs w:val="32"/>
        </w:rPr>
        <w:t>探索林权、碳排放权、排污权等资源权益交易机制，建立市级自然资源转用交易平台</w:t>
      </w:r>
      <w:r>
        <w:rPr>
          <w:rFonts w:hint="eastAsia" w:ascii="仿宋_GB2312" w:eastAsia="仿宋_GB2312"/>
          <w:sz w:val="32"/>
          <w:szCs w:val="32"/>
        </w:rPr>
        <w:t>。</w:t>
      </w:r>
    </w:p>
    <w:p w14:paraId="51641BC8">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（五）生态环境安全守护行动</w:t>
      </w:r>
    </w:p>
    <w:p w14:paraId="43B0CAF0">
      <w:pPr>
        <w:spacing w:after="0" w:line="560" w:lineRule="exact"/>
        <w:ind w:firstLine="643" w:firstLineChars="200"/>
        <w:jc w:val="both"/>
        <w:outlineLvl w:val="2"/>
        <w:rPr>
          <w:rFonts w:ascii="Times New Roman" w:hAnsi="Times New Roman" w:eastAsia="仿宋_GB2312" w:cs="Times New Roman"/>
          <w:color w:val="000000"/>
          <w:kern w:val="32"/>
          <w:sz w:val="32"/>
          <w:szCs w:val="32"/>
        </w:rPr>
      </w:pPr>
      <w:bookmarkStart w:id="9" w:name="_Hlk170748151"/>
      <w:r>
        <w:rPr>
          <w:rFonts w:hint="eastAsia" w:ascii="仿宋_GB2312" w:hAnsi="仿宋_GB2312" w:eastAsia="仿宋_GB2312" w:cs="仿宋_GB2312"/>
          <w:b/>
          <w:bCs/>
          <w:sz w:val="32"/>
          <w:szCs w:val="32"/>
        </w:rPr>
        <w:t>15.加快推进“无废城市”建设</w:t>
      </w:r>
      <w:bookmarkEnd w:id="9"/>
      <w:r>
        <w:rPr>
          <w:rFonts w:hint="eastAsia" w:ascii="仿宋_GB2312" w:hAnsi="仿宋_GB2312" w:eastAsia="仿宋_GB2312" w:cs="仿宋_GB2312"/>
          <w:b/>
          <w:bCs/>
          <w:sz w:val="32"/>
          <w:szCs w:val="32"/>
        </w:rPr>
        <w:t>。</w:t>
      </w:r>
      <w:r>
        <w:rPr>
          <w:rFonts w:ascii="Times New Roman" w:hAnsi="Times New Roman" w:eastAsia="仿宋_GB2312" w:cs="Times New Roman"/>
          <w:color w:val="000000"/>
          <w:kern w:val="32"/>
          <w:sz w:val="32"/>
          <w:szCs w:val="32"/>
        </w:rPr>
        <w:t>持续推进清洁生产，鼓励各</w:t>
      </w:r>
      <w:r>
        <w:rPr>
          <w:rFonts w:hint="eastAsia" w:ascii="Times New Roman" w:hAnsi="Times New Roman" w:eastAsia="仿宋_GB2312" w:cs="Times New Roman"/>
          <w:color w:val="000000"/>
          <w:kern w:val="32"/>
          <w:sz w:val="32"/>
          <w:szCs w:val="32"/>
        </w:rPr>
        <w:t>区市</w:t>
      </w:r>
      <w:r>
        <w:rPr>
          <w:rFonts w:ascii="Times New Roman" w:hAnsi="Times New Roman" w:eastAsia="仿宋_GB2312" w:cs="Times New Roman"/>
          <w:color w:val="000000"/>
          <w:kern w:val="32"/>
          <w:sz w:val="32"/>
          <w:szCs w:val="32"/>
        </w:rPr>
        <w:t>推进大宗工业固废利用处置能力建设，支持建设大宗固体废物资源化利用园区</w:t>
      </w:r>
      <w:r>
        <w:rPr>
          <w:rFonts w:hint="eastAsia" w:ascii="Times New Roman" w:hAnsi="Times New Roman" w:eastAsia="仿宋_GB2312" w:cs="Times New Roman"/>
          <w:color w:val="000000"/>
          <w:kern w:val="32"/>
          <w:sz w:val="32"/>
          <w:szCs w:val="32"/>
        </w:rPr>
        <w:t>，构建智能化废旧物资循环利用体系</w:t>
      </w:r>
      <w:r>
        <w:rPr>
          <w:rFonts w:ascii="Times New Roman" w:hAnsi="Times New Roman" w:eastAsia="仿宋_GB2312" w:cs="Times New Roman"/>
          <w:color w:val="000000"/>
          <w:kern w:val="32"/>
          <w:sz w:val="32"/>
          <w:szCs w:val="32"/>
        </w:rPr>
        <w:t>。加快构建生活垃圾投放、收集、运输、处理全过程分类系统，推进农村生活垃圾分类，完善厨余垃圾收集、转运设施，创建一批生活垃圾分类示范小区和示范村。推动建筑垃圾资源化利用与循环经济发展有机结合，合理布局建筑垃圾利用处置设施。着力建设一批“无废园区”“无废工厂”“无废学校”“无废社区”等一系列“无废细胞”示范亮点工程。</w:t>
      </w:r>
    </w:p>
    <w:p w14:paraId="0FA92191">
      <w:pPr>
        <w:spacing w:after="0" w:line="560" w:lineRule="exact"/>
        <w:ind w:firstLine="643" w:firstLineChars="200"/>
        <w:jc w:val="both"/>
        <w:outlineLvl w:val="2"/>
        <w:rPr>
          <w:rFonts w:ascii="Times New Roman" w:hAnsi="Times New Roman" w:eastAsia="仿宋_GB2312" w:cs="Times New Roman"/>
          <w:color w:val="000000"/>
          <w:kern w:val="32"/>
          <w:sz w:val="32"/>
          <w:szCs w:val="32"/>
        </w:rPr>
      </w:pPr>
      <w:bookmarkStart w:id="10" w:name="_Hlk170748158"/>
      <w:r>
        <w:rPr>
          <w:rFonts w:hint="eastAsia" w:ascii="仿宋_GB2312" w:hAnsi="仿宋_GB2312" w:eastAsia="仿宋_GB2312" w:cs="仿宋_GB2312"/>
          <w:b/>
          <w:bCs/>
          <w:sz w:val="32"/>
          <w:szCs w:val="32"/>
        </w:rPr>
        <w:t>16.加强核与辐射安全风险防范</w:t>
      </w:r>
      <w:bookmarkEnd w:id="10"/>
      <w:r>
        <w:rPr>
          <w:rFonts w:hint="eastAsia" w:ascii="仿宋_GB2312" w:hAnsi="仿宋_GB2312" w:eastAsia="仿宋_GB2312" w:cs="仿宋_GB2312"/>
          <w:b/>
          <w:bCs/>
          <w:sz w:val="32"/>
          <w:szCs w:val="32"/>
        </w:rPr>
        <w:t>。</w:t>
      </w:r>
      <w:r>
        <w:rPr>
          <w:rFonts w:ascii="Times New Roman" w:hAnsi="Times New Roman" w:eastAsia="仿宋_GB2312" w:cs="Times New Roman"/>
          <w:color w:val="000000"/>
          <w:kern w:val="32"/>
          <w:sz w:val="32"/>
          <w:szCs w:val="32"/>
        </w:rPr>
        <w:t>强化核与辐射应急、辐射安全管理、辐射环境监测等能力。严格落实放射性同位素与射线装置分类管理制度，加强对伴生放射性矿开发利用中放射性污染监管，督促相关企业做好辐射防护、放射性监测和伴生放射性固体废物处置等工作。完善核与辐射应急物资储备。</w:t>
      </w:r>
      <w:r>
        <w:rPr>
          <w:rFonts w:hint="eastAsia" w:ascii="Times New Roman" w:hAnsi="Times New Roman" w:eastAsia="仿宋_GB2312" w:cs="Times New Roman"/>
          <w:color w:val="000000"/>
          <w:kern w:val="32"/>
          <w:sz w:val="32"/>
          <w:szCs w:val="32"/>
        </w:rPr>
        <w:t>推进核电厂监督性监测系统信息化建设。</w:t>
      </w:r>
    </w:p>
    <w:p w14:paraId="1C96D998">
      <w:pPr>
        <w:spacing w:after="0" w:line="560" w:lineRule="exact"/>
        <w:ind w:firstLine="643" w:firstLineChars="200"/>
        <w:jc w:val="both"/>
        <w:outlineLvl w:val="2"/>
        <w:rPr>
          <w:rFonts w:ascii="Times New Roman" w:hAnsi="Times New Roman" w:eastAsia="楷体_GB2312" w:cs="Times New Roman"/>
          <w:color w:val="000000"/>
          <w:kern w:val="32"/>
          <w:sz w:val="32"/>
          <w:szCs w:val="32"/>
        </w:rPr>
      </w:pPr>
      <w:bookmarkStart w:id="11" w:name="_Hlk170748164"/>
      <w:r>
        <w:rPr>
          <w:rFonts w:hint="eastAsia" w:ascii="仿宋_GB2312" w:hAnsi="仿宋_GB2312" w:eastAsia="仿宋_GB2312" w:cs="仿宋_GB2312"/>
          <w:b/>
          <w:bCs/>
          <w:sz w:val="32"/>
          <w:szCs w:val="32"/>
        </w:rPr>
        <w:t>17.加强气候变化适应能力</w:t>
      </w:r>
      <w:bookmarkEnd w:id="11"/>
      <w:r>
        <w:rPr>
          <w:rFonts w:hint="eastAsia" w:ascii="仿宋_GB2312" w:hAnsi="仿宋_GB2312" w:eastAsia="仿宋_GB2312" w:cs="仿宋_GB2312"/>
          <w:b/>
          <w:bCs/>
          <w:sz w:val="32"/>
          <w:szCs w:val="32"/>
        </w:rPr>
        <w:t>。</w:t>
      </w:r>
      <w:r>
        <w:rPr>
          <w:rFonts w:ascii="Times New Roman" w:hAnsi="Times New Roman" w:eastAsia="仿宋_GB2312" w:cs="Times New Roman"/>
          <w:color w:val="000000"/>
          <w:kern w:val="32"/>
          <w:sz w:val="32"/>
          <w:szCs w:val="32"/>
        </w:rPr>
        <w:t>推动适应气候变化纳入经济社会发展规划政策体系，并与可持续发展、生态环境保护、基础设施建设等有机结合</w:t>
      </w:r>
      <w:r>
        <w:rPr>
          <w:rFonts w:hint="eastAsia" w:ascii="Times New Roman" w:hAnsi="Times New Roman" w:eastAsia="仿宋_GB2312" w:cs="Times New Roman"/>
          <w:color w:val="000000"/>
          <w:kern w:val="32"/>
          <w:sz w:val="32"/>
          <w:szCs w:val="32"/>
        </w:rPr>
        <w:t>，</w:t>
      </w:r>
      <w:r>
        <w:rPr>
          <w:rFonts w:ascii="Times New Roman" w:hAnsi="Times New Roman" w:eastAsia="仿宋_GB2312" w:cs="Times New Roman"/>
          <w:color w:val="000000"/>
          <w:kern w:val="32"/>
          <w:sz w:val="32"/>
          <w:szCs w:val="32"/>
        </w:rPr>
        <w:t>深化气候适应型城市建设。完善防灾减灾及风险应对机制，</w:t>
      </w:r>
      <w:r>
        <w:rPr>
          <w:rFonts w:hint="eastAsia" w:ascii="Times New Roman" w:hAnsi="Times New Roman" w:eastAsia="仿宋_GB2312" w:cs="Times New Roman"/>
          <w:color w:val="000000"/>
          <w:kern w:val="32"/>
          <w:sz w:val="32"/>
          <w:szCs w:val="32"/>
        </w:rPr>
        <w:t>加强气候变化监测预测预警和影响风险评估</w:t>
      </w:r>
      <w:r>
        <w:rPr>
          <w:rFonts w:ascii="Times New Roman" w:hAnsi="Times New Roman" w:eastAsia="仿宋_GB2312" w:cs="Times New Roman"/>
          <w:color w:val="000000"/>
          <w:kern w:val="32"/>
          <w:sz w:val="32"/>
          <w:szCs w:val="32"/>
        </w:rPr>
        <w:t>。推动应对气候变化与环境污染防治统筹融合、协同增效，推进多污染物协同控制，探索将碳排放影响评价纳入环境影响评价体系，推动应对气候变化融入生态环境管理体系。</w:t>
      </w:r>
    </w:p>
    <w:p w14:paraId="742DAA80">
      <w:pPr>
        <w:spacing w:after="0" w:line="560" w:lineRule="exact"/>
        <w:ind w:firstLine="643" w:firstLineChars="200"/>
        <w:jc w:val="both"/>
        <w:outlineLvl w:val="2"/>
        <w:rPr>
          <w:rFonts w:ascii="仿宋_GB2312" w:eastAsia="仿宋_GB2312"/>
          <w:sz w:val="32"/>
          <w:szCs w:val="32"/>
        </w:rPr>
      </w:pPr>
      <w:bookmarkStart w:id="12" w:name="_Hlk170748169"/>
      <w:r>
        <w:rPr>
          <w:rFonts w:hint="eastAsia" w:ascii="仿宋_GB2312" w:hAnsi="仿宋_GB2312" w:eastAsia="仿宋_GB2312" w:cs="仿宋_GB2312"/>
          <w:b/>
          <w:bCs/>
          <w:sz w:val="32"/>
          <w:szCs w:val="32"/>
        </w:rPr>
        <w:t>18.建立健全环境风险防范体系</w:t>
      </w:r>
      <w:bookmarkEnd w:id="12"/>
      <w:r>
        <w:rPr>
          <w:rFonts w:hint="eastAsia" w:ascii="仿宋_GB2312" w:hAnsi="仿宋_GB2312" w:eastAsia="仿宋_GB2312" w:cs="仿宋_GB2312"/>
          <w:b/>
          <w:bCs/>
          <w:sz w:val="32"/>
          <w:szCs w:val="32"/>
        </w:rPr>
        <w:t>。</w:t>
      </w:r>
      <w:r>
        <w:rPr>
          <w:rFonts w:hint="eastAsia" w:ascii="Times New Roman" w:hAnsi="Times New Roman" w:eastAsia="仿宋_GB2312" w:cs="Times New Roman"/>
          <w:color w:val="000000"/>
          <w:kern w:val="32"/>
          <w:sz w:val="32"/>
          <w:szCs w:val="32"/>
        </w:rPr>
        <w:t>开展环境风险隐患排查和风险评估。健全完善预防、预警、处置环境风险应急体系建设。建立健全重金属污染防控长效机制。</w:t>
      </w:r>
      <w:r>
        <w:rPr>
          <w:rFonts w:ascii="Times New Roman" w:hAnsi="Times New Roman" w:eastAsia="仿宋_GB2312" w:cs="Times New Roman"/>
          <w:color w:val="000000"/>
          <w:kern w:val="32"/>
          <w:sz w:val="32"/>
          <w:szCs w:val="32"/>
        </w:rPr>
        <w:t>推进尾矿库分级分类环境管理，深入开展“清废行动”，稳妥推进尾矿资源综合利用。加强新污染物排放控制，将新污染物治理内容纳入“双随机、一公开”综合执法检查，全面落实《产业结构调整指导目录》中有毒有害化学物质的淘汰和限制措施，严格石化、涂料、纺织印染、橡胶、医药等行业新污染物环境风险管控。</w:t>
      </w:r>
      <w:r>
        <w:rPr>
          <w:rFonts w:hint="eastAsia" w:ascii="Times New Roman" w:hAnsi="Times New Roman" w:eastAsia="仿宋_GB2312" w:cs="Times New Roman"/>
          <w:color w:val="000000"/>
          <w:kern w:val="32"/>
          <w:sz w:val="32"/>
          <w:szCs w:val="32"/>
        </w:rPr>
        <w:t>落实环境健康监测、调查和风险评估制度。</w:t>
      </w:r>
    </w:p>
    <w:p w14:paraId="2432D284">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（六）生态宜居城乡建设行动</w:t>
      </w:r>
    </w:p>
    <w:p w14:paraId="6EE5EDE3">
      <w:pPr>
        <w:spacing w:after="0" w:line="560" w:lineRule="exact"/>
        <w:ind w:firstLine="643" w:firstLineChars="200"/>
        <w:jc w:val="both"/>
        <w:outlineLvl w:val="2"/>
        <w:rPr>
          <w:rFonts w:ascii="楷体_GB2312" w:hAnsi="黑体" w:eastAsia="楷体_GB2312" w:cs="黑体"/>
          <w:color w:val="000000"/>
          <w:kern w:val="32"/>
          <w:sz w:val="32"/>
          <w:szCs w:val="32"/>
        </w:rPr>
      </w:pPr>
      <w:bookmarkStart w:id="13" w:name="_Hlk170748187"/>
      <w:r>
        <w:rPr>
          <w:rFonts w:hint="eastAsia" w:ascii="仿宋_GB2312" w:hAnsi="仿宋_GB2312" w:eastAsia="仿宋_GB2312" w:cs="仿宋_GB2312"/>
          <w:b/>
          <w:bCs/>
          <w:sz w:val="32"/>
          <w:szCs w:val="32"/>
        </w:rPr>
        <w:t>19.构建蓝绿共融的城市生态</w:t>
      </w:r>
      <w:bookmarkEnd w:id="13"/>
      <w:r>
        <w:rPr>
          <w:rFonts w:hint="eastAsia" w:ascii="仿宋_GB2312" w:hAnsi="仿宋_GB2312" w:eastAsia="仿宋_GB2312" w:cs="仿宋_GB2312"/>
          <w:b/>
          <w:bCs/>
          <w:sz w:val="32"/>
          <w:szCs w:val="32"/>
        </w:rPr>
        <w:t>。</w:t>
      </w:r>
      <w:r>
        <w:rPr>
          <w:rFonts w:hint="eastAsia" w:ascii="仿宋_GB2312" w:eastAsia="仿宋_GB2312"/>
          <w:sz w:val="32"/>
          <w:szCs w:val="32"/>
        </w:rPr>
        <w:t>推动形成“山耸城中、城随山转、海围城绕、城岛相映”的特色空间格局。构建城乡公园体系。植入社区口袋公园和街头绿地，实现绿地均衡化布局。连通城市慢行步道与林荫路系统，串联城乡公园、绿地广场，织补完善城乡绿色开敞空间网络。构建中心城区通风廊道。加强城市湿地和水生态修复。加强滨水滨岸亲水设施建设，营建高品质滨水空间。</w:t>
      </w:r>
    </w:p>
    <w:p w14:paraId="45600978">
      <w:pPr>
        <w:spacing w:after="0" w:line="560" w:lineRule="exact"/>
        <w:ind w:firstLine="643" w:firstLineChars="200"/>
        <w:jc w:val="both"/>
        <w:outlineLvl w:val="2"/>
        <w:rPr>
          <w:rFonts w:ascii="仿宋_GB2312" w:eastAsia="仿宋_GB2312"/>
          <w:sz w:val="32"/>
          <w:szCs w:val="32"/>
        </w:rPr>
      </w:pPr>
      <w:bookmarkStart w:id="14" w:name="_Hlk170748193"/>
      <w:r>
        <w:rPr>
          <w:rFonts w:hint="eastAsia" w:ascii="仿宋_GB2312" w:hAnsi="仿宋_GB2312" w:eastAsia="仿宋_GB2312" w:cs="仿宋_GB2312"/>
          <w:b/>
          <w:bCs/>
          <w:sz w:val="32"/>
          <w:szCs w:val="32"/>
        </w:rPr>
        <w:t>20.提升城市生态宜居品质</w:t>
      </w:r>
      <w:bookmarkEnd w:id="14"/>
      <w:r>
        <w:rPr>
          <w:rFonts w:hint="eastAsia" w:ascii="仿宋_GB2312" w:hAnsi="仿宋_GB2312" w:eastAsia="仿宋_GB2312" w:cs="仿宋_GB2312"/>
          <w:b/>
          <w:bCs/>
          <w:sz w:val="32"/>
          <w:szCs w:val="32"/>
        </w:rPr>
        <w:t>。</w:t>
      </w:r>
      <w:r>
        <w:rPr>
          <w:rFonts w:hint="eastAsia" w:ascii="仿宋_GB2312" w:eastAsia="仿宋_GB2312"/>
          <w:sz w:val="32"/>
          <w:szCs w:val="32"/>
        </w:rPr>
        <w:t>实施城市更新行动，推动给排水、环卫等环境公共服务设施提档升级。积极推进</w:t>
      </w:r>
      <w:r>
        <w:rPr>
          <w:rFonts w:ascii="仿宋_GB2312" w:eastAsia="仿宋_GB2312"/>
          <w:sz w:val="32"/>
          <w:szCs w:val="32"/>
        </w:rPr>
        <w:t>国家噪声防治试点，</w:t>
      </w:r>
      <w:r>
        <w:rPr>
          <w:rFonts w:hint="eastAsia" w:ascii="仿宋_GB2312" w:eastAsia="仿宋_GB2312"/>
          <w:sz w:val="32"/>
          <w:szCs w:val="32"/>
        </w:rPr>
        <w:t>加强噪声敏感建筑物集中区域划定</w:t>
      </w:r>
      <w:r>
        <w:rPr>
          <w:rFonts w:ascii="仿宋_GB2312" w:eastAsia="仿宋_GB2312"/>
          <w:sz w:val="32"/>
          <w:szCs w:val="32"/>
        </w:rPr>
        <w:t>成果运用</w:t>
      </w:r>
      <w:r>
        <w:rPr>
          <w:rFonts w:hint="eastAsia" w:ascii="仿宋_GB2312" w:eastAsia="仿宋_GB2312"/>
          <w:sz w:val="32"/>
          <w:szCs w:val="32"/>
        </w:rPr>
        <w:t>，强化实施监管。</w:t>
      </w:r>
      <w:r>
        <w:rPr>
          <w:rFonts w:ascii="仿宋_GB2312" w:eastAsia="仿宋_GB2312"/>
          <w:sz w:val="32"/>
          <w:szCs w:val="32"/>
        </w:rPr>
        <w:t>强化恶臭气体、餐饮油烟等污染治理。</w:t>
      </w:r>
      <w:r>
        <w:rPr>
          <w:rFonts w:hint="eastAsia" w:ascii="仿宋_GB2312" w:eastAsia="仿宋_GB2312"/>
          <w:sz w:val="32"/>
          <w:szCs w:val="32"/>
        </w:rPr>
        <w:t>推动生态社区建设。组织开展城市生态环境治理评估。加快既有建筑和市政基础设施节能降碳改造，新建建筑全面执行绿色建筑标准，推进超低能耗建筑规模化发展。建设高品质住宅。</w:t>
      </w:r>
    </w:p>
    <w:p w14:paraId="4491C890">
      <w:pPr>
        <w:spacing w:after="0" w:line="560" w:lineRule="exact"/>
        <w:ind w:firstLine="643" w:firstLineChars="200"/>
        <w:jc w:val="both"/>
        <w:outlineLvl w:val="2"/>
        <w:rPr>
          <w:rFonts w:ascii="仿宋_GB2312" w:eastAsia="仿宋_GB2312"/>
          <w:sz w:val="32"/>
          <w:szCs w:val="32"/>
        </w:rPr>
      </w:pPr>
      <w:bookmarkStart w:id="15" w:name="_Hlk170748199"/>
      <w:r>
        <w:rPr>
          <w:rFonts w:hint="eastAsia" w:ascii="仿宋_GB2312" w:hAnsi="仿宋_GB2312" w:eastAsia="仿宋_GB2312" w:cs="仿宋_GB2312"/>
          <w:b/>
          <w:bCs/>
          <w:sz w:val="32"/>
          <w:szCs w:val="32"/>
        </w:rPr>
        <w:t>21.统筹推进乡村产业振兴</w:t>
      </w:r>
      <w:bookmarkEnd w:id="15"/>
      <w:r>
        <w:rPr>
          <w:rFonts w:hint="eastAsia" w:ascii="仿宋_GB2312" w:hAnsi="仿宋_GB2312" w:eastAsia="仿宋_GB2312" w:cs="仿宋_GB2312"/>
          <w:b/>
          <w:bCs/>
          <w:sz w:val="32"/>
          <w:szCs w:val="32"/>
        </w:rPr>
        <w:t>。</w:t>
      </w:r>
      <w:r>
        <w:rPr>
          <w:rFonts w:hint="eastAsia" w:ascii="仿宋_GB2312" w:eastAsia="仿宋_GB2312"/>
          <w:sz w:val="32"/>
          <w:szCs w:val="32"/>
        </w:rPr>
        <w:t>推进粮食绿色高质高效生产、高标准农田建设。壮大烟台苹果、白羽肉鸡、海参、葡萄与葡萄酒等优势产业，放大莱阳梨、大樱桃、烟台甘薯等名优品牌价值。延伸农业加工链条，打造农业特色品牌。加快发展智慧农业。推进一二三产业融合发展，建设现代农业产业园和农业强镇，提高农产品产出效率。推进食品产业标准化、集群化、品牌化、链条化建设。发展乡村旅游、休闲农业、文化体验、健康养老、电子商务等新产业新业态。加强农业科技创新能力建设，提高农业科技创新和成果转化应用水平。</w:t>
      </w:r>
    </w:p>
    <w:p w14:paraId="24C59BFF">
      <w:pPr>
        <w:spacing w:after="0" w:line="560" w:lineRule="exact"/>
        <w:ind w:firstLine="643" w:firstLineChars="200"/>
        <w:jc w:val="both"/>
        <w:outlineLvl w:val="2"/>
        <w:rPr>
          <w:rFonts w:ascii="仿宋_GB2312" w:eastAsia="仿宋_GB2312"/>
          <w:b/>
          <w:sz w:val="32"/>
          <w:szCs w:val="32"/>
        </w:rPr>
      </w:pPr>
      <w:bookmarkStart w:id="16" w:name="_Hlk170748205"/>
      <w:r>
        <w:rPr>
          <w:rFonts w:hint="eastAsia" w:ascii="仿宋_GB2312" w:hAnsi="仿宋_GB2312" w:eastAsia="仿宋_GB2312" w:cs="仿宋_GB2312"/>
          <w:b/>
          <w:bCs/>
          <w:sz w:val="32"/>
          <w:szCs w:val="32"/>
        </w:rPr>
        <w:t>22.加快建设美丽乡村</w:t>
      </w:r>
      <w:bookmarkEnd w:id="16"/>
      <w:r>
        <w:rPr>
          <w:rFonts w:hint="eastAsia" w:ascii="仿宋_GB2312" w:hAnsi="仿宋_GB2312" w:eastAsia="仿宋_GB2312" w:cs="仿宋_GB2312"/>
          <w:b/>
          <w:bCs/>
          <w:sz w:val="32"/>
          <w:szCs w:val="32"/>
        </w:rPr>
        <w:t>。</w:t>
      </w:r>
      <w:r>
        <w:rPr>
          <w:rFonts w:hint="eastAsia" w:ascii="仿宋_GB2312" w:eastAsia="仿宋_GB2312"/>
          <w:sz w:val="32"/>
          <w:szCs w:val="32"/>
        </w:rPr>
        <w:t>全面提升农村人居环境质量，因地制宜推进农村清洁取暖、厕所革命、生活垃圾处理、生活污水和黑臭水体治理，健全人居环境整治长效机制。深化拓展“三清一改”，持续实施农药化肥减量增效和有机肥增量替代行动。推行农业绿色生产方式。持续推动蓬莱区、招远市畜禽粪污资源化利用整县</w:t>
      </w:r>
      <w:r>
        <w:rPr>
          <w:rFonts w:hint="eastAsia" w:ascii="仿宋_GB2312" w:eastAsia="仿宋_GB2312"/>
          <w:sz w:val="32"/>
          <w:szCs w:val="32"/>
          <w:lang w:val="en-US" w:eastAsia="zh-CN"/>
        </w:rPr>
        <w:t>推进</w:t>
      </w:r>
      <w:r>
        <w:rPr>
          <w:rFonts w:hint="eastAsia" w:ascii="仿宋_GB2312" w:eastAsia="仿宋_GB2312"/>
          <w:sz w:val="32"/>
          <w:szCs w:val="32"/>
        </w:rPr>
        <w:t>项目。有序推进泳汶河流域相关重点区域农业面源污染治理与监督指导试点。开展乡村绿化美化，保护和恢复乡村特色风貌，加强传统村落、农业文化遗产保护。集中连片打造美丽乡村示范片区、样板村。争创国家农业现代化示范区、乡村振兴齐鲁样板省级示范区。持续开展市级乡村振兴示范镇创建工作。</w:t>
      </w:r>
    </w:p>
    <w:p w14:paraId="5C0A7C13">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（七）全民共建共创共享行动</w:t>
      </w:r>
    </w:p>
    <w:p w14:paraId="065B14B0">
      <w:pPr>
        <w:spacing w:after="0" w:line="560" w:lineRule="exact"/>
        <w:ind w:firstLine="643" w:firstLineChars="200"/>
        <w:jc w:val="both"/>
        <w:outlineLvl w:val="2"/>
        <w:rPr>
          <w:rFonts w:ascii="楷体_GB2312" w:hAnsi="Times New Roman" w:eastAsia="楷体_GB2312" w:cs="Times New Roman"/>
          <w:sz w:val="32"/>
          <w:szCs w:val="32"/>
        </w:rPr>
      </w:pPr>
      <w:r>
        <w:rPr>
          <w:rFonts w:hint="eastAsia" w:ascii="仿宋_GB2312" w:hAnsi="仿宋_GB2312" w:eastAsia="仿宋_GB2312" w:cs="仿宋_GB2312"/>
          <w:b/>
          <w:bCs/>
          <w:sz w:val="32"/>
          <w:szCs w:val="32"/>
        </w:rPr>
        <w:t>23.加强生态文明宣传教育。</w:t>
      </w:r>
      <w:r>
        <w:rPr>
          <w:rFonts w:hint="eastAsia" w:ascii="Times New Roman" w:hAnsi="Times New Roman" w:eastAsia="仿宋_GB2312" w:cs="Times New Roman"/>
          <w:kern w:val="32"/>
          <w:sz w:val="32"/>
          <w:szCs w:val="32"/>
        </w:rPr>
        <w:t>将生态文明教育纳入国民教育体系、职业教育体系和党政领导干部培训体系。积极引导、鼓励和支持社会力量开展生态实践活动。大力宣传新时代文明实践中心，国家、省生态文明建设示范区、“绿水青山就是金山银山”实践创新基地等示范创建工作，面向社会开展专题宣传。编制地方性环境科普读物，推动将生态环境课程纳入中小学幼儿园基础教学体系。</w:t>
      </w:r>
    </w:p>
    <w:p w14:paraId="7FE57999">
      <w:pPr>
        <w:spacing w:after="0" w:line="560" w:lineRule="exact"/>
        <w:ind w:firstLine="643" w:firstLineChars="200"/>
        <w:jc w:val="both"/>
        <w:outlineLvl w:val="2"/>
        <w:rPr>
          <w:rFonts w:ascii="Times New Roman" w:hAnsi="Times New Roman" w:eastAsia="仿宋_GB2312" w:cs="Times New Roman"/>
          <w:kern w:val="32"/>
          <w:sz w:val="32"/>
          <w:szCs w:val="32"/>
        </w:rPr>
      </w:pPr>
      <w:r>
        <w:rPr>
          <w:rFonts w:hint="eastAsia" w:ascii="仿宋_GB2312" w:hAnsi="仿宋_GB2312" w:eastAsia="仿宋_GB2312" w:cs="仿宋_GB2312"/>
          <w:b/>
          <w:bCs/>
          <w:sz w:val="32"/>
          <w:szCs w:val="32"/>
        </w:rPr>
        <w:t>24.培育弘扬特色生态文化。</w:t>
      </w:r>
      <w:r>
        <w:rPr>
          <w:rFonts w:hint="eastAsia" w:ascii="Times New Roman" w:hAnsi="Times New Roman" w:eastAsia="仿宋_GB2312" w:cs="Times New Roman"/>
          <w:kern w:val="32"/>
          <w:sz w:val="32"/>
          <w:szCs w:val="32"/>
        </w:rPr>
        <w:t>加快建立健全以生态文明主流价值观为准则的生态文化体系。加强文化和自然双遗产保护，做好对传统文化和非物质文化遗产中生态价值观的传承、弘扬、发展和保护。繁荣生态文学，健全生态文化创作机制。充分挖掘烟台世界级、国家级旅游文化资源。积极开展对外生态文化传播，</w:t>
      </w:r>
      <w:r>
        <w:rPr>
          <w:rFonts w:ascii="Times New Roman" w:hAnsi="Times New Roman" w:eastAsia="仿宋_GB2312" w:cs="Times New Roman"/>
          <w:kern w:val="32"/>
          <w:sz w:val="32"/>
          <w:szCs w:val="32"/>
        </w:rPr>
        <w:t>提升烟台生态文化旅游影响力。高质量建设绿色生态旅游基地。</w:t>
      </w:r>
    </w:p>
    <w:p w14:paraId="51B657AE">
      <w:pPr>
        <w:spacing w:after="0" w:line="560" w:lineRule="exact"/>
        <w:ind w:firstLine="643" w:firstLineChars="200"/>
        <w:jc w:val="both"/>
        <w:outlineLvl w:val="2"/>
        <w:rPr>
          <w:rFonts w:ascii="楷体_GB2312" w:hAnsi="Times New Roman" w:eastAsia="楷体_GB2312" w:cs="Times New Roman"/>
          <w:sz w:val="32"/>
          <w:szCs w:val="32"/>
        </w:rPr>
      </w:pPr>
      <w:r>
        <w:rPr>
          <w:rFonts w:hint="eastAsia" w:ascii="仿宋_GB2312" w:hAnsi="仿宋_GB2312" w:eastAsia="仿宋_GB2312" w:cs="仿宋_GB2312"/>
          <w:b/>
          <w:bCs/>
          <w:sz w:val="32"/>
          <w:szCs w:val="32"/>
        </w:rPr>
        <w:t>25.倡导绿色低碳生活方式。</w:t>
      </w:r>
      <w:r>
        <w:rPr>
          <w:rFonts w:hint="eastAsia" w:ascii="Times New Roman" w:hAnsi="Times New Roman" w:eastAsia="仿宋_GB2312" w:cs="Times New Roman"/>
          <w:kern w:val="32"/>
          <w:sz w:val="32"/>
          <w:szCs w:val="32"/>
        </w:rPr>
        <w:t>开展绿色办公、绿色采购、绿色用能，积极创建美丽机关。积极动员企业发展绿色采购、促进绿色销售，引导绿色消费和可持续消费。倡导简约适度、绿色低碳、文明健康的生活方式和消费模式。发展绿色旅游，鼓励绿色出行。提升垃圾分类管理水平，推进烟台市区居民小区垃圾分类全覆盖。探索建立“碳普惠”等公众参与机制，完善碳普惠体系建设与运营。</w:t>
      </w:r>
    </w:p>
    <w:p w14:paraId="34B14644">
      <w:pPr>
        <w:spacing w:after="0" w:line="560" w:lineRule="exact"/>
        <w:ind w:firstLine="643" w:firstLineChars="200"/>
        <w:jc w:val="both"/>
        <w:outlineLvl w:val="2"/>
        <w:rPr>
          <w:rFonts w:ascii="楷体_GB2312" w:hAnsi="Times New Roman" w:eastAsia="楷体_GB2312" w:cs="Times New Roman"/>
          <w:strike/>
          <w:sz w:val="32"/>
          <w:szCs w:val="32"/>
        </w:rPr>
      </w:pPr>
      <w:r>
        <w:rPr>
          <w:rFonts w:hint="eastAsia" w:ascii="仿宋_GB2312" w:hAnsi="仿宋_GB2312" w:eastAsia="仿宋_GB2312" w:cs="仿宋_GB2312"/>
          <w:b/>
          <w:bCs/>
          <w:sz w:val="32"/>
          <w:szCs w:val="32"/>
        </w:rPr>
        <w:t>26.健全多元参与行动体系。</w:t>
      </w:r>
      <w:r>
        <w:rPr>
          <w:rFonts w:hint="eastAsia" w:ascii="Times New Roman" w:hAnsi="Times New Roman" w:eastAsia="仿宋_GB2312" w:cs="Times New Roman"/>
          <w:kern w:val="32"/>
          <w:sz w:val="32"/>
          <w:szCs w:val="32"/>
        </w:rPr>
        <w:t>加强企业环境治理责任制度建设，积极践行绿色生产方式。加快建立环境信息强制性披露制度与企业环境信用评价制度，鼓励基层单位开展绿色、清洁、零碳引领行动。加强生态环境数据共享开放，畅通公众参与渠道。开展环境治理全民行动，引导公民履行环保义务，畅通环保监督渠道。建立有效的监控数据及信访、举报、舆情反映问题的处置后督查机制。</w:t>
      </w:r>
    </w:p>
    <w:p w14:paraId="50CA0B2C">
      <w:pPr>
        <w:spacing w:after="0"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（八）现代治理体系构建行动</w:t>
      </w:r>
    </w:p>
    <w:p w14:paraId="7BA37547">
      <w:pPr>
        <w:spacing w:after="0" w:line="560" w:lineRule="exact"/>
        <w:ind w:firstLine="643" w:firstLineChars="200"/>
        <w:jc w:val="both"/>
        <w:outlineLvl w:val="2"/>
        <w:rPr>
          <w:rFonts w:ascii="Times New Roman" w:hAnsi="Times New Roman" w:eastAsia="仿宋_GB2312" w:cs="Times New Roman"/>
          <w:kern w:val="32"/>
          <w:sz w:val="32"/>
          <w:szCs w:val="32"/>
        </w:rPr>
      </w:pPr>
      <w:r>
        <w:rPr>
          <w:rFonts w:hint="eastAsia" w:ascii="仿宋_GB2312" w:hAnsi="仿宋_GB2312" w:eastAsia="仿宋_GB2312" w:cs="仿宋_GB2312"/>
          <w:b/>
          <w:bCs/>
          <w:sz w:val="32"/>
          <w:szCs w:val="32"/>
        </w:rPr>
        <w:t>27.健全生态环境管理制度。</w:t>
      </w:r>
      <w:r>
        <w:rPr>
          <w:rFonts w:hint="eastAsia" w:ascii="Times New Roman" w:hAnsi="Times New Roman" w:eastAsia="仿宋_GB2312" w:cs="Times New Roman"/>
          <w:kern w:val="32"/>
          <w:sz w:val="32"/>
          <w:szCs w:val="32"/>
        </w:rPr>
        <w:t>坚持党政同责、一岗双责。开展领导干部自然资源资产离任审计，实行生态环境损害责任终身追究制。加强生态文明法治建设，促进环境行政执法和刑事司法的有序衔接。完善生态环境管理制度，加强生态环境分区管控制度与环评、排污许可制度衔接。强化河长制、林长制。从严从实推进中央、省生态环境保护督察反馈问题整改。</w:t>
      </w:r>
    </w:p>
    <w:p w14:paraId="7935519A">
      <w:pPr>
        <w:spacing w:after="0" w:line="560" w:lineRule="exact"/>
        <w:ind w:firstLine="643" w:firstLineChars="200"/>
        <w:jc w:val="both"/>
        <w:outlineLvl w:val="2"/>
        <w:rPr>
          <w:rFonts w:ascii="楷体_GB2312" w:hAnsi="Times New Roman" w:eastAsia="楷体_GB2312" w:cs="Times New Roman"/>
          <w:sz w:val="32"/>
          <w:szCs w:val="32"/>
        </w:rPr>
      </w:pPr>
      <w:r>
        <w:rPr>
          <w:rFonts w:hint="eastAsia" w:ascii="仿宋_GB2312" w:hAnsi="仿宋_GB2312" w:eastAsia="仿宋_GB2312" w:cs="仿宋_GB2312"/>
          <w:b/>
          <w:bCs/>
          <w:sz w:val="32"/>
          <w:szCs w:val="32"/>
        </w:rPr>
        <w:t>28.强化政策激励保障机制。</w:t>
      </w:r>
      <w:r>
        <w:rPr>
          <w:rFonts w:hint="eastAsia" w:ascii="Times New Roman" w:hAnsi="Times New Roman" w:eastAsia="仿宋_GB2312" w:cs="Times New Roman"/>
          <w:color w:val="000000"/>
          <w:kern w:val="32"/>
          <w:sz w:val="32"/>
          <w:szCs w:val="32"/>
        </w:rPr>
        <w:t>加强财政、科技、价格、金融等领域的政策协同。深入推进资源环境要素市场化改革，探索建设碳排放权、排污权、用能权、用水权交易市场。严格执行环境保护绿色税收制度，落实环保和资源综合利用税收优惠政策。完善高耗能行业阶梯电价制度。推进生态综合补偿，深化横向生态保护补偿机制建设。大力发展绿色金融，有序推进绿色信贷、绿色保险。</w:t>
      </w:r>
    </w:p>
    <w:p w14:paraId="215F5341">
      <w:pPr>
        <w:spacing w:after="0" w:line="560" w:lineRule="exact"/>
        <w:ind w:firstLine="643" w:firstLineChars="200"/>
        <w:jc w:val="both"/>
        <w:outlineLvl w:val="2"/>
        <w:rPr>
          <w:rFonts w:ascii="楷体_GB2312" w:hAnsi="Times New Roman" w:eastAsia="楷体_GB2312" w:cs="Times New Roman"/>
          <w:sz w:val="32"/>
          <w:szCs w:val="32"/>
        </w:rPr>
      </w:pPr>
      <w:r>
        <w:rPr>
          <w:rFonts w:hint="eastAsia" w:ascii="仿宋_GB2312" w:hAnsi="仿宋_GB2312" w:eastAsia="仿宋_GB2312" w:cs="仿宋_GB2312"/>
          <w:b/>
          <w:bCs/>
          <w:sz w:val="32"/>
          <w:szCs w:val="32"/>
        </w:rPr>
        <w:t>29.创新智慧高效数字治理。</w:t>
      </w:r>
      <w:r>
        <w:rPr>
          <w:rFonts w:hint="eastAsia" w:ascii="Times New Roman" w:hAnsi="Times New Roman" w:eastAsia="仿宋_GB2312" w:cs="Times New Roman"/>
          <w:color w:val="000000"/>
          <w:kern w:val="32"/>
          <w:sz w:val="32"/>
          <w:szCs w:val="32"/>
        </w:rPr>
        <w:t>高标准建设智慧城市，持续扩展丰富“烟台城市大脑”功能，打造“智慧</w:t>
      </w:r>
      <w:r>
        <w:rPr>
          <w:rFonts w:ascii="Times New Roman" w:hAnsi="Times New Roman" w:eastAsia="仿宋_GB2312" w:cs="Times New Roman"/>
          <w:color w:val="000000"/>
          <w:kern w:val="32"/>
          <w:sz w:val="32"/>
          <w:szCs w:val="32"/>
        </w:rPr>
        <w:t>+”应用场景。推进生态环境智慧化监管，加快建立现代化生态环境监测体系，加强对生态环境数据关联分析和挖掘应用，实现智慧化生态环境监管。探索建设固废</w:t>
      </w:r>
      <w:r>
        <w:rPr>
          <w:rFonts w:hint="eastAsia" w:ascii="Times New Roman" w:hAnsi="Times New Roman" w:eastAsia="仿宋_GB2312" w:cs="Times New Roman"/>
          <w:color w:val="000000"/>
          <w:kern w:val="32"/>
          <w:sz w:val="32"/>
          <w:szCs w:val="32"/>
        </w:rPr>
        <w:t>智慧管理服务，推进烟台市“固废智慧监管平台”建设，积极引入“互联网</w:t>
      </w:r>
      <w:r>
        <w:rPr>
          <w:rFonts w:ascii="Times New Roman" w:hAnsi="Times New Roman" w:eastAsia="仿宋_GB2312" w:cs="Times New Roman"/>
          <w:color w:val="000000"/>
          <w:kern w:val="32"/>
          <w:sz w:val="32"/>
          <w:szCs w:val="32"/>
        </w:rPr>
        <w:t>+”固废处理企业。</w:t>
      </w:r>
    </w:p>
    <w:p w14:paraId="4AE03697">
      <w:pPr>
        <w:spacing w:after="0" w:line="560" w:lineRule="exact"/>
        <w:ind w:firstLine="643" w:firstLineChars="200"/>
        <w:jc w:val="both"/>
        <w:outlineLvl w:val="2"/>
        <w:rPr>
          <w:rFonts w:ascii="楷体_GB2312" w:hAnsi="Times New Roman" w:eastAsia="楷体_GB2312" w:cs="Times New Roman"/>
          <w:sz w:val="32"/>
          <w:szCs w:val="32"/>
        </w:rPr>
      </w:pPr>
      <w:r>
        <w:rPr>
          <w:rFonts w:hint="eastAsia" w:ascii="仿宋_GB2312" w:hAnsi="仿宋_GB2312" w:eastAsia="仿宋_GB2312" w:cs="仿宋_GB2312"/>
          <w:b/>
          <w:bCs/>
          <w:sz w:val="32"/>
          <w:szCs w:val="32"/>
        </w:rPr>
        <w:t>30.加强绿色低碳科技支撑。</w:t>
      </w:r>
      <w:r>
        <w:rPr>
          <w:rFonts w:hint="eastAsia" w:ascii="Times New Roman" w:hAnsi="Times New Roman" w:eastAsia="仿宋_GB2312" w:cs="Times New Roman"/>
          <w:color w:val="000000"/>
          <w:kern w:val="32"/>
          <w:sz w:val="32"/>
          <w:szCs w:val="32"/>
        </w:rPr>
        <w:t>强化绿色技术产学研协同攻关。加强科研平台建设，争创环保领域各级重点实验室、企业技术中心、工程研究中心。加强污染防治先进技术遴选、推广应用和技术指导，支持重点绿色技术创新成果转化应用。加强生态环境科技人才队伍建设，完善高层次科技人才、市场人才和配套产业人才引进制度。加强生态文明领域智库建设，健全完善生态环境保护专家委员会和专家库。</w:t>
      </w:r>
    </w:p>
    <w:p w14:paraId="54A63397">
      <w:pPr>
        <w:spacing w:after="0" w:line="560" w:lineRule="exact"/>
        <w:ind w:firstLine="640" w:firstLineChars="200"/>
        <w:jc w:val="both"/>
        <w:outlineLvl w:val="0"/>
        <w:rPr>
          <w:rFonts w:ascii="黑体" w:hAnsi="黑体" w:eastAsia="黑体"/>
          <w:bCs/>
          <w:sz w:val="32"/>
          <w:szCs w:val="32"/>
          <w14:ligatures w14:val="none"/>
        </w:rPr>
      </w:pPr>
      <w:r>
        <w:rPr>
          <w:rFonts w:hint="eastAsia" w:ascii="黑体" w:hAnsi="黑体" w:eastAsia="黑体"/>
          <w:bCs/>
          <w:sz w:val="32"/>
          <w:szCs w:val="32"/>
          <w14:ligatures w14:val="none"/>
        </w:rPr>
        <w:t>三、保障措施</w:t>
      </w:r>
    </w:p>
    <w:p w14:paraId="3D9AAF49">
      <w:pPr>
        <w:spacing w:after="0" w:line="560" w:lineRule="exact"/>
        <w:ind w:firstLine="640" w:firstLineChars="200"/>
        <w:jc w:val="both"/>
        <w:rPr>
          <w:rFonts w:ascii="Times New Roman" w:hAnsi="Times New Roman" w:eastAsia="仿宋_GB2312" w:cs="Times New Roman"/>
          <w:strike/>
          <w:kern w:val="32"/>
          <w:sz w:val="32"/>
          <w:szCs w:val="32"/>
        </w:rPr>
      </w:pPr>
      <w:r>
        <w:rPr>
          <w:rFonts w:hint="eastAsia" w:ascii="楷体_GB2312" w:hAnsi="Times New Roman" w:eastAsia="楷体_GB2312" w:cs="Times New Roman"/>
          <w:sz w:val="32"/>
          <w:szCs w:val="32"/>
        </w:rPr>
        <w:t>（一）加强组织领导。</w:t>
      </w:r>
      <w:r>
        <w:rPr>
          <w:rFonts w:ascii="Times New Roman" w:hAnsi="Times New Roman" w:eastAsia="仿宋_GB2312" w:cs="Times New Roman"/>
          <w:sz w:val="32"/>
          <w:szCs w:val="32"/>
          <w:lang w:bidi="ar"/>
        </w:rPr>
        <w:t>强化各级党委、政府领导责任</w:t>
      </w:r>
      <w:r>
        <w:rPr>
          <w:rFonts w:hint="eastAsia" w:ascii="Times New Roman" w:hAnsi="Times New Roman" w:eastAsia="仿宋_GB2312" w:cs="Times New Roman"/>
          <w:sz w:val="32"/>
          <w:szCs w:val="32"/>
          <w:lang w:bidi="ar"/>
        </w:rPr>
        <w:t>，</w:t>
      </w:r>
      <w:r>
        <w:rPr>
          <w:rFonts w:ascii="Times New Roman" w:hAnsi="Times New Roman" w:eastAsia="仿宋_GB2312" w:cs="Times New Roman"/>
          <w:kern w:val="32"/>
          <w:sz w:val="32"/>
          <w:szCs w:val="32"/>
        </w:rPr>
        <w:t>建立烟台中国北方最美生态城市建设工作运行机制。市生态环境局负责统筹推进方案实施，各责任部门要加强协作，做好工作指导、调度和协调。全市各级政府及市直部门根据</w:t>
      </w:r>
      <w:r>
        <w:rPr>
          <w:rFonts w:hint="eastAsia" w:ascii="Times New Roman" w:hAnsi="Times New Roman" w:eastAsia="仿宋_GB2312" w:cs="Times New Roman"/>
          <w:kern w:val="32"/>
          <w:sz w:val="32"/>
          <w:szCs w:val="32"/>
        </w:rPr>
        <w:t>职</w:t>
      </w:r>
      <w:r>
        <w:rPr>
          <w:rFonts w:ascii="Times New Roman" w:hAnsi="Times New Roman" w:eastAsia="仿宋_GB2312" w:cs="Times New Roman"/>
          <w:kern w:val="32"/>
          <w:sz w:val="32"/>
          <w:szCs w:val="32"/>
        </w:rPr>
        <w:t>责分工制定重点任务计划，建立工作协调机制，实现清单化推进管理</w:t>
      </w:r>
      <w:r>
        <w:rPr>
          <w:rFonts w:hint="eastAsia" w:ascii="Times New Roman" w:hAnsi="Times New Roman" w:eastAsia="仿宋_GB2312" w:cs="Times New Roman"/>
          <w:kern w:val="32"/>
          <w:sz w:val="32"/>
          <w:szCs w:val="32"/>
        </w:rPr>
        <w:t>。</w:t>
      </w:r>
    </w:p>
    <w:p w14:paraId="4B3A899A">
      <w:pPr>
        <w:spacing w:after="0" w:line="560" w:lineRule="exact"/>
        <w:ind w:firstLine="640" w:firstLineChars="200"/>
        <w:jc w:val="both"/>
        <w:rPr>
          <w:rFonts w:ascii="Times New Roman" w:hAnsi="Times New Roman" w:eastAsia="仿宋_GB2312" w:cs="Times New Roman"/>
          <w:kern w:val="32"/>
          <w:sz w:val="32"/>
          <w:szCs w:val="32"/>
        </w:rPr>
      </w:pPr>
      <w:r>
        <w:rPr>
          <w:rFonts w:hint="eastAsia" w:ascii="楷体_GB2312" w:hAnsi="Times New Roman" w:eastAsia="楷体_GB2312" w:cs="Times New Roman"/>
          <w:sz w:val="32"/>
          <w:szCs w:val="32"/>
        </w:rPr>
        <w:t>（二）完善政策支持。</w:t>
      </w:r>
      <w:r>
        <w:rPr>
          <w:rFonts w:ascii="Times New Roman" w:hAnsi="Times New Roman" w:eastAsia="仿宋_GB2312" w:cs="Times New Roman"/>
          <w:kern w:val="32"/>
          <w:sz w:val="32"/>
          <w:szCs w:val="32"/>
        </w:rPr>
        <w:t>加强各级财政预算与行动方案实施的衔接协调与经费保障，</w:t>
      </w:r>
      <w:r>
        <w:rPr>
          <w:rFonts w:hint="eastAsia" w:ascii="Times New Roman" w:hAnsi="Times New Roman" w:eastAsia="仿宋_GB2312" w:cs="Times New Roman"/>
          <w:kern w:val="32"/>
          <w:sz w:val="32"/>
          <w:szCs w:val="32"/>
        </w:rPr>
        <w:t>加大</w:t>
      </w:r>
      <w:r>
        <w:rPr>
          <w:rFonts w:ascii="Times New Roman" w:hAnsi="Times New Roman" w:eastAsia="仿宋_GB2312" w:cs="Times New Roman"/>
          <w:kern w:val="32"/>
          <w:sz w:val="32"/>
          <w:szCs w:val="32"/>
        </w:rPr>
        <w:t>符合条件项目</w:t>
      </w:r>
      <w:r>
        <w:rPr>
          <w:rFonts w:hint="eastAsia" w:ascii="Times New Roman" w:hAnsi="Times New Roman" w:eastAsia="仿宋_GB2312" w:cs="Times New Roman"/>
          <w:kern w:val="32"/>
          <w:sz w:val="32"/>
          <w:szCs w:val="32"/>
        </w:rPr>
        <w:t>支持力度</w:t>
      </w:r>
      <w:r>
        <w:rPr>
          <w:rFonts w:ascii="Times New Roman" w:hAnsi="Times New Roman" w:eastAsia="仿宋_GB2312" w:cs="Times New Roman"/>
          <w:kern w:val="32"/>
          <w:sz w:val="32"/>
          <w:szCs w:val="32"/>
        </w:rPr>
        <w:t>，积极争取中央、省级专项资金支持，市级财政将烟台中国北方最美生态城市建设项目纳入本级预算。加大新旧动能转换基金对烟台中国北方最美生态城市建设的支持。规范有序推进政府和社会资本合作模式，引导和鼓励更多社会资本参与烟台中国北方最美生态城市建设。</w:t>
      </w:r>
    </w:p>
    <w:p w14:paraId="70618A9D">
      <w:pPr>
        <w:spacing w:after="0" w:line="560" w:lineRule="exact"/>
        <w:ind w:firstLine="640" w:firstLineChars="200"/>
        <w:jc w:val="both"/>
        <w:rPr>
          <w:rFonts w:ascii="Times New Roman" w:hAnsi="Times New Roman" w:eastAsia="仿宋_GB2312" w:cs="Times New Roman"/>
          <w:kern w:val="32"/>
          <w:sz w:val="32"/>
          <w:szCs w:val="32"/>
        </w:rPr>
      </w:pPr>
      <w:r>
        <w:rPr>
          <w:rFonts w:hint="eastAsia" w:ascii="楷体_GB2312" w:hAnsi="Times New Roman" w:eastAsia="楷体_GB2312" w:cs="Times New Roman"/>
          <w:sz w:val="32"/>
          <w:szCs w:val="32"/>
        </w:rPr>
        <w:t>（三）</w:t>
      </w:r>
      <w:bookmarkStart w:id="17" w:name="_Hlk170748350"/>
      <w:r>
        <w:rPr>
          <w:rFonts w:ascii="楷体_GB2312" w:hAnsi="Times New Roman" w:eastAsia="楷体_GB2312" w:cs="Times New Roman"/>
          <w:sz w:val="32"/>
          <w:szCs w:val="32"/>
        </w:rPr>
        <w:t>加大监督管理</w:t>
      </w:r>
      <w:bookmarkEnd w:id="17"/>
      <w:r>
        <w:rPr>
          <w:rFonts w:hint="eastAsia" w:ascii="楷体_GB2312" w:hAnsi="Times New Roman" w:eastAsia="楷体_GB2312" w:cs="Times New Roman"/>
          <w:sz w:val="32"/>
          <w:szCs w:val="32"/>
        </w:rPr>
        <w:t>。</w:t>
      </w:r>
      <w:r>
        <w:rPr>
          <w:rFonts w:ascii="Times New Roman" w:hAnsi="Times New Roman" w:eastAsia="仿宋_GB2312" w:cs="Times New Roman"/>
          <w:kern w:val="32"/>
          <w:sz w:val="32"/>
          <w:szCs w:val="32"/>
        </w:rPr>
        <w:t>强化公众监督参与，主动接受社会监督</w:t>
      </w:r>
      <w:r>
        <w:rPr>
          <w:rFonts w:hint="eastAsia" w:ascii="Times New Roman" w:hAnsi="Times New Roman" w:eastAsia="仿宋_GB2312" w:cs="Times New Roman"/>
          <w:kern w:val="32"/>
          <w:sz w:val="32"/>
          <w:szCs w:val="32"/>
        </w:rPr>
        <w:t>。</w:t>
      </w:r>
      <w:r>
        <w:rPr>
          <w:rFonts w:ascii="Times New Roman" w:hAnsi="Times New Roman" w:eastAsia="仿宋_GB2312" w:cs="Times New Roman"/>
          <w:kern w:val="32"/>
          <w:sz w:val="32"/>
          <w:szCs w:val="32"/>
        </w:rPr>
        <w:t>动态监测烟台中国北方最美生态城市建设情况，全面反映烟台中国北方最美生态城市建设工作成效。建立以最美为目标导向的长效工作和评估调度机制。根据全市经济社会需求新变化和行动方案评估情况，适时对指标、目标和重点任务进行动态调整。</w:t>
      </w:r>
    </w:p>
    <w:p w14:paraId="33F52949">
      <w:pPr>
        <w:spacing w:after="0" w:line="560" w:lineRule="exact"/>
        <w:ind w:firstLine="640" w:firstLineChars="200"/>
        <w:jc w:val="both"/>
        <w:rPr>
          <w:rFonts w:ascii="仿宋_GB2312" w:eastAsia="仿宋_GB2312"/>
          <w:strike/>
          <w:sz w:val="32"/>
          <w:szCs w:val="32"/>
        </w:rPr>
      </w:pPr>
      <w:r>
        <w:rPr>
          <w:rFonts w:hint="eastAsia" w:ascii="楷体_GB2312" w:hAnsi="Times New Roman" w:eastAsia="楷体_GB2312" w:cs="Times New Roman"/>
          <w:sz w:val="32"/>
          <w:szCs w:val="32"/>
        </w:rPr>
        <w:t>（四）强化宣传引导。</w:t>
      </w:r>
      <w:r>
        <w:rPr>
          <w:rFonts w:ascii="Times New Roman" w:hAnsi="Times New Roman" w:eastAsia="仿宋_GB2312" w:cs="Times New Roman"/>
          <w:kern w:val="32"/>
          <w:sz w:val="32"/>
          <w:szCs w:val="32"/>
        </w:rPr>
        <w:t>加强政策解读和舆论引导，多途径开展烟台中国北方最美生态城市建设解读和宣传。及时总结并向社会公布烟台中国北方最美生态城市建设创新性成果、重要举措和阶段成效，促进烟台中国北方最美生态城市建设实践进展交流和经验举措推广</w:t>
      </w:r>
      <w:r>
        <w:rPr>
          <w:rFonts w:hint="eastAsia" w:ascii="Times New Roman" w:hAnsi="Times New Roman" w:eastAsia="仿宋_GB2312" w:cs="Times New Roman"/>
          <w:kern w:val="32"/>
          <w:sz w:val="32"/>
          <w:szCs w:val="32"/>
        </w:rPr>
        <w:t>。</w:t>
      </w:r>
    </w:p>
    <w:sectPr>
      <w:footerReference r:id="rId5" w:type="default"/>
      <w:pgSz w:w="11906" w:h="16838"/>
      <w:pgMar w:top="1701" w:right="1417" w:bottom="1701"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8"/>
        <w:szCs w:val="28"/>
      </w:rPr>
      <w:id w:val="373972000"/>
    </w:sdtPr>
    <w:sdtEndPr>
      <w:rPr>
        <w:rFonts w:hint="eastAsia" w:ascii="仿宋_GB2312" w:hAnsi="仿宋_GB2312" w:eastAsia="仿宋_GB2312" w:cs="仿宋_GB2312"/>
        <w:sz w:val="28"/>
        <w:szCs w:val="28"/>
      </w:rPr>
    </w:sdtEndPr>
    <w:sdtContent>
      <w:p w14:paraId="5B56C3A9">
        <w:pPr>
          <w:pStyle w:val="13"/>
          <w:jc w:val="cente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1ZTllNTJhZTQzYzQ4YWQ3NTA4OTUwNDc3ZTk5NjEifQ=="/>
  </w:docVars>
  <w:rsids>
    <w:rsidRoot w:val="004E719C"/>
    <w:rsid w:val="00006124"/>
    <w:rsid w:val="00015A59"/>
    <w:rsid w:val="0002278C"/>
    <w:rsid w:val="000363EB"/>
    <w:rsid w:val="0004222C"/>
    <w:rsid w:val="000C78CC"/>
    <w:rsid w:val="000F1B7D"/>
    <w:rsid w:val="00153FAD"/>
    <w:rsid w:val="0017508C"/>
    <w:rsid w:val="0018179F"/>
    <w:rsid w:val="001A650F"/>
    <w:rsid w:val="0022558F"/>
    <w:rsid w:val="00226766"/>
    <w:rsid w:val="00234E1D"/>
    <w:rsid w:val="002420AA"/>
    <w:rsid w:val="00245448"/>
    <w:rsid w:val="00286477"/>
    <w:rsid w:val="002931BB"/>
    <w:rsid w:val="002C7AFA"/>
    <w:rsid w:val="002F1208"/>
    <w:rsid w:val="002F7164"/>
    <w:rsid w:val="00311B1A"/>
    <w:rsid w:val="0039171F"/>
    <w:rsid w:val="00402594"/>
    <w:rsid w:val="00407030"/>
    <w:rsid w:val="00463EB8"/>
    <w:rsid w:val="0049043F"/>
    <w:rsid w:val="00490C43"/>
    <w:rsid w:val="004A785F"/>
    <w:rsid w:val="004E719C"/>
    <w:rsid w:val="004F2125"/>
    <w:rsid w:val="00514697"/>
    <w:rsid w:val="005425B3"/>
    <w:rsid w:val="0054429A"/>
    <w:rsid w:val="00557B25"/>
    <w:rsid w:val="005873E1"/>
    <w:rsid w:val="005D69F9"/>
    <w:rsid w:val="005F2E40"/>
    <w:rsid w:val="00605A03"/>
    <w:rsid w:val="00630C8E"/>
    <w:rsid w:val="00633FBC"/>
    <w:rsid w:val="00681D2E"/>
    <w:rsid w:val="006C048A"/>
    <w:rsid w:val="006E2319"/>
    <w:rsid w:val="00725E61"/>
    <w:rsid w:val="00742EC8"/>
    <w:rsid w:val="007455C0"/>
    <w:rsid w:val="00753783"/>
    <w:rsid w:val="00775D1F"/>
    <w:rsid w:val="0079123B"/>
    <w:rsid w:val="007A372D"/>
    <w:rsid w:val="007E2A38"/>
    <w:rsid w:val="007F1978"/>
    <w:rsid w:val="007F5D1E"/>
    <w:rsid w:val="008131CD"/>
    <w:rsid w:val="00854636"/>
    <w:rsid w:val="0085601E"/>
    <w:rsid w:val="0086350B"/>
    <w:rsid w:val="00871BBA"/>
    <w:rsid w:val="0088671F"/>
    <w:rsid w:val="008B4AA2"/>
    <w:rsid w:val="008B7656"/>
    <w:rsid w:val="00911B6A"/>
    <w:rsid w:val="009249C3"/>
    <w:rsid w:val="00925826"/>
    <w:rsid w:val="00937598"/>
    <w:rsid w:val="0095180C"/>
    <w:rsid w:val="009538B6"/>
    <w:rsid w:val="0099434B"/>
    <w:rsid w:val="009C112A"/>
    <w:rsid w:val="009C1945"/>
    <w:rsid w:val="00A24E67"/>
    <w:rsid w:val="00A34678"/>
    <w:rsid w:val="00A403B7"/>
    <w:rsid w:val="00A97595"/>
    <w:rsid w:val="00AD4F65"/>
    <w:rsid w:val="00AE176D"/>
    <w:rsid w:val="00B13832"/>
    <w:rsid w:val="00B4190F"/>
    <w:rsid w:val="00B448E2"/>
    <w:rsid w:val="00B47B9D"/>
    <w:rsid w:val="00B52594"/>
    <w:rsid w:val="00B527C7"/>
    <w:rsid w:val="00B660F4"/>
    <w:rsid w:val="00B66163"/>
    <w:rsid w:val="00B83818"/>
    <w:rsid w:val="00B842F2"/>
    <w:rsid w:val="00B87E79"/>
    <w:rsid w:val="00C104F9"/>
    <w:rsid w:val="00C76AA0"/>
    <w:rsid w:val="00C974BA"/>
    <w:rsid w:val="00CA4676"/>
    <w:rsid w:val="00CB33FB"/>
    <w:rsid w:val="00D133D3"/>
    <w:rsid w:val="00D41DFA"/>
    <w:rsid w:val="00D8014F"/>
    <w:rsid w:val="00DE157B"/>
    <w:rsid w:val="00DE5B0C"/>
    <w:rsid w:val="00DE7747"/>
    <w:rsid w:val="00E0179E"/>
    <w:rsid w:val="00E3309B"/>
    <w:rsid w:val="00E37BDE"/>
    <w:rsid w:val="00E575F4"/>
    <w:rsid w:val="00EC34A2"/>
    <w:rsid w:val="00EF0D75"/>
    <w:rsid w:val="00F30FB9"/>
    <w:rsid w:val="00F572D0"/>
    <w:rsid w:val="00F63376"/>
    <w:rsid w:val="00FD7B43"/>
    <w:rsid w:val="00FF2029"/>
    <w:rsid w:val="030A634C"/>
    <w:rsid w:val="09B207F9"/>
    <w:rsid w:val="121F4F69"/>
    <w:rsid w:val="1C730FDE"/>
    <w:rsid w:val="421B22FB"/>
    <w:rsid w:val="50353123"/>
    <w:rsid w:val="50A4615B"/>
    <w:rsid w:val="563E4934"/>
    <w:rsid w:val="5D3F3797"/>
    <w:rsid w:val="61DE06EA"/>
    <w:rsid w:val="6571289C"/>
    <w:rsid w:val="66283132"/>
    <w:rsid w:val="73B31547"/>
    <w:rsid w:val="75C647F9"/>
    <w:rsid w:val="7B8156B4"/>
    <w:rsid w:val="7CEB574F"/>
    <w:rsid w:val="7D97022D"/>
    <w:rsid w:val="7ECE04DD"/>
    <w:rsid w:val="7F5FE88D"/>
    <w:rsid w:val="ADFD9CE3"/>
    <w:rsid w:val="BFEEBC79"/>
    <w:rsid w:val="FF57ACB0"/>
    <w:rsid w:val="FF7EE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Balloon Text"/>
    <w:basedOn w:val="1"/>
    <w:link w:val="43"/>
    <w:semiHidden/>
    <w:unhideWhenUsed/>
    <w:qFormat/>
    <w:uiPriority w:val="99"/>
    <w:pPr>
      <w:spacing w:after="0" w:line="240" w:lineRule="auto"/>
    </w:pPr>
    <w:rPr>
      <w:sz w:val="18"/>
      <w:szCs w:val="18"/>
    </w:r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40"/>
    <w:semiHidden/>
    <w:unhideWhenUsed/>
    <w:qFormat/>
    <w:uiPriority w:val="99"/>
    <w:pPr>
      <w:snapToGrid w:val="0"/>
      <w:spacing w:after="0" w:line="240" w:lineRule="auto"/>
    </w:pPr>
    <w:rPr>
      <w:sz w:val="18"/>
      <w:szCs w:val="18"/>
      <w14:ligatures w14:val="none"/>
    </w:rPr>
  </w:style>
  <w:style w:type="paragraph" w:styleId="17">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annotation reference"/>
    <w:basedOn w:val="19"/>
    <w:semiHidden/>
    <w:unhideWhenUsed/>
    <w:qFormat/>
    <w:uiPriority w:val="99"/>
    <w:rPr>
      <w:sz w:val="21"/>
      <w:szCs w:val="21"/>
    </w:rPr>
  </w:style>
  <w:style w:type="character" w:styleId="21">
    <w:name w:val="footnote reference"/>
    <w:basedOn w:val="19"/>
    <w:semiHidden/>
    <w:unhideWhenUsed/>
    <w:qFormat/>
    <w:uiPriority w:val="99"/>
    <w:rPr>
      <w:vertAlign w:val="superscript"/>
    </w:rPr>
  </w:style>
  <w:style w:type="character" w:customStyle="1" w:styleId="22">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明显参考1"/>
    <w:basedOn w:val="19"/>
    <w:qFormat/>
    <w:uiPriority w:val="32"/>
    <w:rPr>
      <w:b/>
      <w:bCs/>
      <w:smallCaps/>
      <w:color w:val="104862" w:themeColor="accent1" w:themeShade="BF"/>
      <w:spacing w:val="5"/>
    </w:rPr>
  </w:style>
  <w:style w:type="character" w:customStyle="1" w:styleId="40">
    <w:name w:val="脚注文本 字符"/>
    <w:basedOn w:val="19"/>
    <w:link w:val="16"/>
    <w:semiHidden/>
    <w:qFormat/>
    <w:uiPriority w:val="99"/>
    <w:rPr>
      <w:sz w:val="18"/>
      <w:szCs w:val="18"/>
      <w14:ligatures w14:val="none"/>
    </w:rPr>
  </w:style>
  <w:style w:type="character" w:customStyle="1" w:styleId="41">
    <w:name w:val="页眉 字符"/>
    <w:basedOn w:val="19"/>
    <w:link w:val="14"/>
    <w:qFormat/>
    <w:uiPriority w:val="99"/>
    <w:rPr>
      <w:sz w:val="18"/>
      <w:szCs w:val="18"/>
    </w:rPr>
  </w:style>
  <w:style w:type="character" w:customStyle="1" w:styleId="42">
    <w:name w:val="页脚 字符"/>
    <w:basedOn w:val="19"/>
    <w:link w:val="13"/>
    <w:qFormat/>
    <w:uiPriority w:val="99"/>
    <w:rPr>
      <w:sz w:val="18"/>
      <w:szCs w:val="18"/>
    </w:rPr>
  </w:style>
  <w:style w:type="character" w:customStyle="1" w:styleId="43">
    <w:name w:val="批注框文本 字符"/>
    <w:basedOn w:val="19"/>
    <w:link w:val="12"/>
    <w:semiHidden/>
    <w:qFormat/>
    <w:uiPriority w:val="99"/>
    <w:rPr>
      <w:kern w:val="2"/>
      <w:sz w:val="18"/>
      <w:szCs w:val="18"/>
      <w14:ligatures w14:val="standardContextual"/>
    </w:rPr>
  </w:style>
  <w:style w:type="paragraph" w:customStyle="1" w:styleId="44">
    <w:name w:val="修订1"/>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7266</Words>
  <Characters>7340</Characters>
  <Lines>51</Lines>
  <Paragraphs>14</Paragraphs>
  <TotalTime>9</TotalTime>
  <ScaleCrop>false</ScaleCrop>
  <LinksUpToDate>false</LinksUpToDate>
  <CharactersWithSpaces>7340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2024-06-28T07:20:00Z</dcterms:created>
  <dc:creator>斌 厉</dc:creator>
  <cp:lastModifiedBy>圆子</cp:lastModifiedBy>
  <dcterms:modified xsi:type="dcterms:W3CDTF">2024-07-16T03:15:18Z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49E5DAAD43924C6F85A8841B1AE1D24A_13</vt:lpwstr>
  </property>
</Properties>
</file>