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highlight w:val="none"/>
          <w:lang w:val="en-US" w:eastAsia="zh-CN" w:bidi="ar"/>
        </w:rPr>
      </w:pPr>
      <w:r>
        <w:rPr>
          <w:rFonts w:hint="eastAsia" w:ascii="方正小标宋简体" w:hAnsi="方正小标宋简体" w:eastAsia="方正小标宋简体" w:cs="方正小标宋简体"/>
          <w:color w:val="000000"/>
          <w:kern w:val="0"/>
          <w:sz w:val="44"/>
          <w:szCs w:val="44"/>
          <w:highlight w:val="none"/>
          <w:lang w:val="en-US" w:eastAsia="zh-CN" w:bidi="ar"/>
        </w:rPr>
        <w:t>关于积极推进养老服务事业产业协同高质量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highlight w:val="none"/>
          <w:lang w:val="en-US" w:eastAsia="zh-CN" w:bidi="ar"/>
        </w:rPr>
      </w:pPr>
      <w:r>
        <w:rPr>
          <w:rFonts w:hint="eastAsia" w:ascii="方正小标宋简体" w:hAnsi="方正小标宋简体" w:eastAsia="方正小标宋简体" w:cs="方正小标宋简体"/>
          <w:color w:val="000000"/>
          <w:kern w:val="0"/>
          <w:sz w:val="44"/>
          <w:szCs w:val="44"/>
          <w:highlight w:val="none"/>
          <w:lang w:val="en-US" w:eastAsia="zh-CN" w:bidi="ar"/>
        </w:rPr>
        <w:t>发展的实施意见（征求意见稿）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highlight w:val="none"/>
          <w:lang w:val="en-US" w:eastAsia="zh-CN" w:bidi="ar"/>
        </w:rPr>
      </w:pPr>
      <w:r>
        <w:rPr>
          <w:rFonts w:hint="eastAsia" w:ascii="方正小标宋简体" w:hAnsi="方正小标宋简体" w:eastAsia="方正小标宋简体" w:cs="方正小标宋简体"/>
          <w:color w:val="000000"/>
          <w:kern w:val="0"/>
          <w:sz w:val="44"/>
          <w:szCs w:val="44"/>
          <w:highlight w:val="none"/>
          <w:lang w:val="en-US" w:eastAsia="zh-CN" w:bidi="ar"/>
        </w:rPr>
        <w:t>起草说明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一、</w:t>
      </w:r>
      <w:r>
        <w:rPr>
          <w:rFonts w:hint="eastAsia" w:ascii="黑体" w:hAnsi="黑体" w:eastAsia="黑体" w:cs="黑体"/>
          <w:color w:val="000000"/>
          <w:sz w:val="32"/>
          <w:szCs w:val="32"/>
          <w:lang w:eastAsia="zh-CN"/>
        </w:rPr>
        <w:t>制定背景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color w:val="000000"/>
          <w:sz w:val="32"/>
          <w:szCs w:val="32"/>
          <w:lang w:eastAsia="zh-CN"/>
        </w:rPr>
        <w:t>养老服务既是事关人民福祉的民生事业，也是事关千家万户的民心工程，</w:t>
      </w:r>
      <w:r>
        <w:rPr>
          <w:rFonts w:hint="eastAsia" w:ascii="仿宋_GB2312" w:hAnsi="仿宋_GB2312" w:eastAsia="仿宋_GB2312" w:cs="仿宋_GB2312"/>
          <w:color w:val="000000"/>
          <w:kern w:val="2"/>
          <w:sz w:val="32"/>
          <w:szCs w:val="32"/>
          <w:lang w:val="en-US" w:eastAsia="zh-CN" w:bidi="ar-SA"/>
        </w:rPr>
        <w:t>习近平总书记多次针对养老问题作出重要指示。</w:t>
      </w:r>
      <w:r>
        <w:rPr>
          <w:rFonts w:hint="eastAsia" w:ascii="仿宋_GB2312" w:hAnsi="仿宋_GB2312" w:eastAsia="仿宋_GB2312" w:cs="仿宋_GB2312"/>
          <w:sz w:val="32"/>
          <w:szCs w:val="32"/>
          <w:lang w:eastAsia="zh-CN"/>
        </w:rPr>
        <w:t>烟台市自1987年进入老龄化社会，是中国老龄化程度较高的地级市之一。截止202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年底，烟台市60岁以上</w:t>
      </w:r>
      <w:r>
        <w:rPr>
          <w:rFonts w:hint="eastAsia" w:ascii="仿宋_GB2312" w:hAnsi="仿宋_GB2312" w:eastAsia="仿宋_GB2312" w:cs="仿宋_GB2312"/>
          <w:sz w:val="32"/>
          <w:szCs w:val="32"/>
          <w:lang w:val="en-US" w:eastAsia="zh-CN"/>
        </w:rPr>
        <w:t>户籍</w:t>
      </w:r>
      <w:r>
        <w:rPr>
          <w:rFonts w:hint="eastAsia" w:ascii="仿宋_GB2312" w:hAnsi="仿宋_GB2312" w:eastAsia="仿宋_GB2312" w:cs="仿宋_GB2312"/>
          <w:sz w:val="32"/>
          <w:szCs w:val="32"/>
          <w:lang w:eastAsia="zh-CN"/>
        </w:rPr>
        <w:t>老年人口已达到</w:t>
      </w:r>
      <w:r>
        <w:rPr>
          <w:rFonts w:hint="eastAsia" w:ascii="仿宋_GB2312" w:hAnsi="仿宋_GB2312" w:eastAsia="仿宋_GB2312" w:cs="仿宋_GB2312"/>
          <w:sz w:val="32"/>
          <w:szCs w:val="32"/>
          <w:lang w:val="en-US" w:eastAsia="zh-CN"/>
        </w:rPr>
        <w:t>197.6万人，</w:t>
      </w:r>
      <w:r>
        <w:rPr>
          <w:rFonts w:hint="eastAsia" w:ascii="仿宋_GB2312" w:hAnsi="仿宋_GB2312" w:eastAsia="仿宋_GB2312" w:cs="仿宋_GB2312"/>
          <w:sz w:val="32"/>
          <w:szCs w:val="32"/>
          <w:lang w:eastAsia="zh-CN"/>
        </w:rPr>
        <w:t>占比</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老年人口体量大、增速快，</w:t>
      </w:r>
      <w:r>
        <w:rPr>
          <w:rFonts w:hint="eastAsia" w:ascii="仿宋_GB2312" w:hAnsi="仿宋_GB2312" w:eastAsia="仿宋_GB2312" w:cs="仿宋_GB2312"/>
          <w:sz w:val="32"/>
          <w:szCs w:val="32"/>
          <w:lang w:eastAsia="zh-CN"/>
        </w:rPr>
        <w:t>按照国际老龄化标准（</w:t>
      </w:r>
      <w:r>
        <w:rPr>
          <w:rFonts w:hint="eastAsia" w:ascii="仿宋_GB2312" w:hAnsi="仿宋_GB2312" w:eastAsia="仿宋_GB2312" w:cs="仿宋_GB2312"/>
          <w:sz w:val="32"/>
          <w:szCs w:val="32"/>
          <w:lang w:val="en-US" w:eastAsia="zh-CN"/>
        </w:rPr>
        <w:t>老年人口占比超过30%为</w:t>
      </w:r>
      <w:r>
        <w:rPr>
          <w:rFonts w:hint="eastAsia" w:ascii="仿宋_GB2312" w:hAnsi="仿宋_GB2312" w:eastAsia="仿宋_GB2312" w:cs="仿宋_GB2312"/>
          <w:sz w:val="32"/>
          <w:szCs w:val="32"/>
          <w:lang w:eastAsia="zh-CN"/>
        </w:rPr>
        <w:t>重度老龄化阶段）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烟台市已进入重度老龄化阶段</w:t>
      </w:r>
      <w:r>
        <w:rPr>
          <w:rFonts w:hint="eastAsia" w:ascii="仿宋_GB2312" w:hAnsi="仿宋_GB2312" w:eastAsia="仿宋_GB2312" w:cs="仿宋_GB2312"/>
          <w:sz w:val="32"/>
          <w:szCs w:val="32"/>
          <w:lang w:val="en-US" w:eastAsia="zh-CN"/>
        </w:rPr>
        <w:t>。</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30" w:lineRule="exact"/>
        <w:ind w:right="0" w:rightChars="0" w:firstLine="640" w:firstLineChars="200"/>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二、制定必要性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2"/>
          <w:sz w:val="32"/>
          <w:szCs w:val="32"/>
          <w:lang w:val="en-US" w:eastAsia="zh-CN" w:bidi="ar-SA"/>
        </w:rPr>
        <w:t>近年来，烟台市统筹发展养老事业与养老产业，打造“福寿烟台·康养胜地”颐养安居城市名片，在推动养老服务工作方面取得了一系列可喜成果，</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但也应清醒看到，体制机制不健全、供需结构不协调、城乡发展不平衡、人才队伍不合理、产业发展不充分等问题依然突</w:t>
      </w:r>
      <w:r>
        <w:rPr>
          <w:rFonts w:hint="eastAsia" w:ascii="仿宋_GB2312" w:hAnsi="仿宋_GB2312" w:eastAsia="仿宋_GB2312" w:cs="仿宋_GB2312"/>
          <w:sz w:val="32"/>
          <w:szCs w:val="32"/>
          <w:lang w:val="en-US" w:eastAsia="zh-CN"/>
        </w:rPr>
        <w:t>出。为进一步加强政策引导，统筹推进养老事业与康养产业发展，加快构建居家社区机构相协</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调、医养康养相结合的养老服务体系</w:t>
      </w:r>
      <w:r>
        <w:rPr>
          <w:rFonts w:hint="eastAsia" w:ascii="仿宋_GB2312" w:hAnsi="仿宋_GB2312" w:eastAsia="仿宋_GB2312" w:cs="仿宋_GB2312"/>
          <w:sz w:val="32"/>
          <w:szCs w:val="32"/>
          <w:lang w:val="en-US" w:eastAsia="zh-CN"/>
        </w:rPr>
        <w:t>，积极构建养老产业发展新格局，市民政局牵头起草了《</w:t>
      </w:r>
      <w:r>
        <w:rPr>
          <w:rFonts w:hint="eastAsia" w:ascii="仿宋_GB2312" w:hAnsi="仿宋_GB2312" w:eastAsia="仿宋_GB2312" w:cs="仿宋_GB2312"/>
          <w:color w:val="000000"/>
          <w:kern w:val="0"/>
          <w:sz w:val="32"/>
          <w:szCs w:val="32"/>
          <w:highlight w:val="none"/>
          <w:lang w:val="en-US" w:eastAsia="zh-CN" w:bidi="ar"/>
        </w:rPr>
        <w:t>关于积极推进养老服务事业产业协同高质量发展的实施意见</w:t>
      </w:r>
      <w:r>
        <w:rPr>
          <w:rFonts w:hint="eastAsia" w:ascii="仿宋_GB2312" w:hAnsi="仿宋_GB2312" w:eastAsia="仿宋_GB2312" w:cs="仿宋_GB2312"/>
          <w:sz w:val="32"/>
          <w:szCs w:val="32"/>
          <w:lang w:val="en-US" w:eastAsia="zh-CN"/>
        </w:rPr>
        <w:t>》（以下简称《实施意见》）。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30" w:lineRule="exact"/>
        <w:ind w:right="0" w:firstLine="640" w:firstLineChars="200"/>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三、制定依据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30" w:lineRule="exact"/>
        <w:ind w:right="0" w:firstLine="640" w:firstLineChars="200"/>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该文件主要依据</w:t>
      </w:r>
      <w:r>
        <w:rPr>
          <w:rFonts w:hint="eastAsia" w:ascii="仿宋_GB2312" w:hAnsi="仿宋_GB2312" w:eastAsia="仿宋_GB2312" w:cs="仿宋_GB2312"/>
          <w:i w:val="0"/>
          <w:caps w:val="0"/>
          <w:color w:val="000000"/>
          <w:spacing w:val="0"/>
          <w:kern w:val="2"/>
          <w:sz w:val="32"/>
          <w:szCs w:val="32"/>
          <w:highlight w:val="none"/>
          <w:lang w:val="en-US" w:eastAsia="zh-CN" w:bidi="zh-CN"/>
        </w:rPr>
        <w:t>《国务院办公厅关于发展银发经济增进老年人福祉的意见》</w:t>
      </w:r>
      <w:r>
        <w:rPr>
          <w:rFonts w:hint="eastAsia" w:ascii="仿宋_GB2312" w:hAnsi="仿宋_GB2312" w:eastAsia="仿宋_GB2312" w:cs="仿宋_GB2312"/>
          <w:color w:val="000000"/>
          <w:kern w:val="0"/>
          <w:sz w:val="32"/>
          <w:szCs w:val="32"/>
          <w:highlight w:val="none"/>
          <w:lang w:val="en-US" w:eastAsia="zh-CN" w:bidi="ar"/>
        </w:rPr>
        <w:t>《山东省养老服务高质量发展三年行动计划（2024-2026年）》《烟台市养老服务条例》等</w:t>
      </w:r>
      <w:r>
        <w:rPr>
          <w:rFonts w:hint="eastAsia" w:ascii="仿宋_GB2312" w:hAnsi="仿宋_GB2312" w:eastAsia="仿宋_GB2312" w:cs="仿宋_GB2312"/>
          <w:i w:val="0"/>
          <w:caps w:val="0"/>
          <w:color w:val="000000"/>
          <w:spacing w:val="0"/>
          <w:sz w:val="32"/>
          <w:szCs w:val="32"/>
          <w:lang w:eastAsia="zh-CN"/>
        </w:rPr>
        <w:t>法律法规制定。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30" w:lineRule="exact"/>
        <w:ind w:right="0" w:firstLine="640" w:firstLineChars="200"/>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四、形成过程</w:t>
      </w:r>
    </w:p>
    <w:p>
      <w:pPr>
        <w:pStyle w:val="17"/>
        <w:keepNext w:val="0"/>
        <w:keepLines w:val="0"/>
        <w:pageBreakBefore w:val="0"/>
        <w:kinsoku/>
        <w:wordWrap/>
        <w:overflowPunct/>
        <w:topLinePunct w:val="0"/>
        <w:autoSpaceDE/>
        <w:autoSpaceDN/>
        <w:bidi w:val="0"/>
        <w:adjustRightInd w:val="0"/>
        <w:snapToGrid w:val="0"/>
        <w:spacing w:line="53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华文仿宋" w:eastAsia="仿宋_GB2312"/>
          <w:color w:val="000000"/>
          <w:sz w:val="32"/>
          <w:szCs w:val="32"/>
        </w:rPr>
        <w:t>在前期调研基础上，</w:t>
      </w:r>
      <w:r>
        <w:rPr>
          <w:rFonts w:hint="eastAsia" w:ascii="仿宋_GB2312" w:hAnsi="华文仿宋" w:eastAsia="仿宋_GB2312"/>
          <w:color w:val="000000"/>
          <w:sz w:val="32"/>
          <w:szCs w:val="32"/>
          <w:lang w:val="en-US" w:eastAsia="zh-CN"/>
        </w:rPr>
        <w:t>5</w:t>
      </w:r>
      <w:r>
        <w:rPr>
          <w:rFonts w:hint="eastAsia" w:ascii="仿宋_GB2312" w:hAnsi="华文仿宋" w:eastAsia="仿宋_GB2312"/>
          <w:color w:val="000000"/>
          <w:sz w:val="32"/>
          <w:szCs w:val="32"/>
        </w:rPr>
        <w:t>月</w:t>
      </w:r>
      <w:r>
        <w:rPr>
          <w:rFonts w:hint="eastAsia" w:ascii="仿宋_GB2312" w:hAnsi="华文仿宋" w:eastAsia="仿宋_GB2312"/>
          <w:color w:val="000000"/>
          <w:sz w:val="32"/>
          <w:szCs w:val="32"/>
          <w:lang w:val="en-US" w:eastAsia="zh-CN"/>
        </w:rPr>
        <w:t>上旬</w:t>
      </w:r>
      <w:r>
        <w:rPr>
          <w:rFonts w:hint="eastAsia" w:ascii="仿宋_GB2312" w:hAnsi="华文仿宋" w:eastAsia="仿宋_GB2312"/>
          <w:color w:val="000000"/>
          <w:sz w:val="32"/>
          <w:szCs w:val="32"/>
        </w:rPr>
        <w:t>，起草形成</w:t>
      </w:r>
      <w:r>
        <w:rPr>
          <w:rFonts w:hint="eastAsia" w:ascii="仿宋_GB2312" w:eastAsia="仿宋_GB2312"/>
          <w:color w:val="000000"/>
          <w:sz w:val="32"/>
          <w:szCs w:val="32"/>
        </w:rPr>
        <w:t>《</w:t>
      </w:r>
      <w:r>
        <w:rPr>
          <w:rFonts w:hint="eastAsia" w:ascii="仿宋_GB2312" w:hAnsi="仿宋_GB2312" w:eastAsia="仿宋_GB2312" w:cs="仿宋_GB2312"/>
          <w:color w:val="000000"/>
          <w:kern w:val="0"/>
          <w:sz w:val="32"/>
          <w:szCs w:val="32"/>
          <w:highlight w:val="none"/>
          <w:lang w:val="en-US" w:eastAsia="zh-CN" w:bidi="ar"/>
        </w:rPr>
        <w:t>关于积极推进养老服务事业产业协同高质量发展的实施意见</w:t>
      </w:r>
      <w:r>
        <w:rPr>
          <w:rFonts w:hint="eastAsia" w:ascii="仿宋_GB2312" w:hAnsi="仿宋_GB2312" w:eastAsia="仿宋_GB2312" w:cs="仿宋_GB2312"/>
          <w:sz w:val="32"/>
          <w:szCs w:val="32"/>
          <w:lang w:eastAsia="zh-CN"/>
        </w:rPr>
        <w:t>（</w:t>
      </w:r>
      <w:r>
        <w:rPr>
          <w:rFonts w:hint="eastAsia" w:ascii="仿宋_GB2312" w:eastAsia="仿宋_GB2312"/>
          <w:color w:val="000000"/>
          <w:sz w:val="32"/>
          <w:szCs w:val="32"/>
          <w:lang w:eastAsia="zh-CN"/>
        </w:rPr>
        <w:t>征求意见稿</w:t>
      </w:r>
      <w:r>
        <w:rPr>
          <w:rFonts w:hint="eastAsia" w:ascii="仿宋_GB2312" w:hAnsi="仿宋_GB2312" w:eastAsia="仿宋_GB2312" w:cs="仿宋_GB2312"/>
          <w:sz w:val="32"/>
          <w:szCs w:val="32"/>
          <w:lang w:eastAsia="zh-CN"/>
        </w:rPr>
        <w:t>）</w:t>
      </w:r>
      <w:r>
        <w:rPr>
          <w:rFonts w:hint="eastAsia" w:ascii="仿宋_GB2312" w:eastAsia="仿宋_GB2312"/>
          <w:color w:val="000000"/>
          <w:sz w:val="32"/>
          <w:szCs w:val="32"/>
        </w:rPr>
        <w:t>》（</w:t>
      </w:r>
      <w:r>
        <w:rPr>
          <w:rFonts w:hint="eastAsia" w:ascii="仿宋_GB2312" w:eastAsia="仿宋_GB2312"/>
          <w:color w:val="000000"/>
          <w:sz w:val="32"/>
          <w:szCs w:val="32"/>
          <w:lang w:eastAsia="zh-CN"/>
        </w:rPr>
        <w:t>以下简称《实施意见》</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hAnsi="华文仿宋" w:eastAsia="仿宋_GB2312"/>
          <w:color w:val="000000"/>
          <w:sz w:val="32"/>
          <w:szCs w:val="32"/>
          <w:lang w:val="en-US" w:eastAsia="zh-CN"/>
        </w:rPr>
        <w:t>5</w:t>
      </w:r>
      <w:r>
        <w:rPr>
          <w:rFonts w:hint="eastAsia" w:ascii="仿宋_GB2312" w:hAnsi="华文仿宋" w:eastAsia="仿宋_GB2312"/>
          <w:color w:val="000000"/>
          <w:sz w:val="32"/>
          <w:szCs w:val="32"/>
        </w:rPr>
        <w:t>月</w:t>
      </w:r>
      <w:r>
        <w:rPr>
          <w:rFonts w:hint="eastAsia" w:ascii="仿宋_GB2312" w:hAnsi="华文仿宋" w:eastAsia="仿宋_GB2312"/>
          <w:color w:val="000000"/>
          <w:sz w:val="32"/>
          <w:szCs w:val="32"/>
          <w:lang w:val="en-US" w:eastAsia="zh-CN"/>
        </w:rPr>
        <w:t>20</w:t>
      </w:r>
      <w:r>
        <w:rPr>
          <w:rFonts w:hint="eastAsia" w:ascii="仿宋_GB2312" w:hAnsi="华文仿宋" w:eastAsia="仿宋_GB2312"/>
          <w:color w:val="000000"/>
          <w:sz w:val="32"/>
          <w:szCs w:val="32"/>
        </w:rPr>
        <w:t>日—</w:t>
      </w:r>
      <w:r>
        <w:rPr>
          <w:rFonts w:hint="eastAsia" w:ascii="仿宋_GB2312" w:hAnsi="华文仿宋" w:eastAsia="仿宋_GB2312"/>
          <w:color w:val="000000"/>
          <w:sz w:val="32"/>
          <w:szCs w:val="32"/>
          <w:lang w:val="en-US" w:eastAsia="zh-CN"/>
        </w:rPr>
        <w:t>6月10</w:t>
      </w:r>
      <w:r>
        <w:rPr>
          <w:rFonts w:hint="eastAsia" w:ascii="仿宋_GB2312" w:hAnsi="华文仿宋" w:eastAsia="仿宋_GB2312"/>
          <w:color w:val="000000"/>
          <w:sz w:val="32"/>
          <w:szCs w:val="32"/>
        </w:rPr>
        <w:t>日，分别向</w:t>
      </w:r>
      <w:r>
        <w:rPr>
          <w:rFonts w:hint="eastAsia" w:ascii="仿宋_GB2312" w:hAnsi="华文仿宋" w:eastAsia="仿宋_GB2312"/>
          <w:color w:val="000000"/>
          <w:sz w:val="32"/>
          <w:szCs w:val="32"/>
          <w:lang w:eastAsia="zh-CN"/>
        </w:rPr>
        <w:t>市财政局、市发改委、市人社局</w:t>
      </w:r>
      <w:r>
        <w:rPr>
          <w:rFonts w:hint="eastAsia" w:ascii="仿宋_GB2312" w:hAnsi="宋体" w:eastAsia="仿宋_GB2312" w:cs="宋体"/>
          <w:color w:val="000000"/>
          <w:kern w:val="0"/>
          <w:sz w:val="32"/>
          <w:szCs w:val="32"/>
          <w:lang w:eastAsia="zh-CN"/>
        </w:rPr>
        <w:t>等</w:t>
      </w:r>
      <w:r>
        <w:rPr>
          <w:rFonts w:hint="eastAsia" w:ascii="仿宋_GB2312" w:hAnsi="宋体" w:eastAsia="仿宋_GB2312" w:cs="宋体"/>
          <w:color w:val="000000"/>
          <w:kern w:val="0"/>
          <w:sz w:val="32"/>
          <w:szCs w:val="32"/>
          <w:lang w:val="en-US" w:eastAsia="zh-CN"/>
        </w:rPr>
        <w:t>24个</w:t>
      </w:r>
      <w:r>
        <w:rPr>
          <w:rFonts w:hint="eastAsia" w:ascii="仿宋_GB2312" w:hAnsi="宋体" w:eastAsia="仿宋_GB2312" w:cs="宋体"/>
          <w:color w:val="000000"/>
          <w:kern w:val="0"/>
          <w:sz w:val="32"/>
          <w:szCs w:val="32"/>
          <w:lang w:eastAsia="zh-CN"/>
        </w:rPr>
        <w:t>部门单位</w:t>
      </w:r>
      <w:r>
        <w:rPr>
          <w:rFonts w:hint="eastAsia" w:ascii="仿宋_GB2312" w:hAnsi="宋体" w:eastAsia="仿宋_GB2312" w:cs="宋体"/>
          <w:color w:val="000000"/>
          <w:kern w:val="0"/>
          <w:sz w:val="32"/>
          <w:szCs w:val="32"/>
        </w:rPr>
        <w:t>征求意见</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共征集</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条修改意见，并按照修改意见进行修改</w:t>
      </w:r>
      <w:r>
        <w:rPr>
          <w:rFonts w:hint="eastAsia" w:ascii="仿宋_GB2312" w:hAnsi="宋体" w:eastAsia="仿宋_GB2312" w:cs="宋体"/>
          <w:color w:val="000000"/>
          <w:kern w:val="0"/>
          <w:sz w:val="32"/>
          <w:szCs w:val="32"/>
          <w:lang w:eastAsia="zh-CN"/>
        </w:rPr>
        <w:t>完善</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6月10日—7月10日</w:t>
      </w:r>
      <w:r>
        <w:rPr>
          <w:rFonts w:hint="eastAsia" w:ascii="仿宋_GB2312" w:eastAsia="仿宋_GB2312"/>
          <w:color w:val="000000"/>
          <w:sz w:val="32"/>
          <w:szCs w:val="32"/>
        </w:rPr>
        <w:t>在市政府、市民政局网站</w:t>
      </w:r>
      <w:r>
        <w:rPr>
          <w:rFonts w:hint="eastAsia" w:ascii="仿宋_GB2312" w:eastAsia="仿宋_GB2312"/>
          <w:color w:val="000000"/>
          <w:sz w:val="32"/>
          <w:szCs w:val="32"/>
          <w:lang w:eastAsia="zh-CN"/>
        </w:rPr>
        <w:t>面</w:t>
      </w:r>
      <w:r>
        <w:rPr>
          <w:rFonts w:hint="eastAsia" w:ascii="仿宋_GB2312" w:eastAsia="仿宋_GB2312"/>
          <w:color w:val="000000"/>
          <w:sz w:val="32"/>
          <w:szCs w:val="32"/>
        </w:rPr>
        <w:t>向社会公众征求意见</w:t>
      </w:r>
      <w:r>
        <w:rPr>
          <w:rFonts w:hint="eastAsia" w:ascii="仿宋_GB2312" w:eastAsia="仿宋_GB2312"/>
          <w:color w:val="000000"/>
          <w:sz w:val="32"/>
          <w:szCs w:val="32"/>
          <w:lang w:eastAsia="zh-CN"/>
        </w:rPr>
        <w:t>。</w:t>
      </w:r>
      <w:r>
        <w:rPr>
          <w:rFonts w:hint="eastAsia" w:ascii="仿宋_GB2312" w:eastAsia="仿宋_GB2312"/>
          <w:color w:val="000000"/>
          <w:sz w:val="32"/>
          <w:szCs w:val="32"/>
        </w:rPr>
        <w:t>征求意见</w:t>
      </w:r>
      <w:r>
        <w:rPr>
          <w:rFonts w:hint="eastAsia" w:ascii="仿宋_GB2312" w:eastAsia="仿宋_GB2312"/>
          <w:color w:val="000000"/>
          <w:sz w:val="32"/>
          <w:szCs w:val="32"/>
          <w:lang w:eastAsia="zh-CN"/>
        </w:rPr>
        <w:t>同时进行各部门会签</w:t>
      </w:r>
      <w:r>
        <w:rPr>
          <w:rFonts w:hint="eastAsia" w:ascii="仿宋_GB2312" w:hAnsi="仿宋_GB2312" w:eastAsia="仿宋_GB2312" w:cs="仿宋_GB2312"/>
          <w:sz w:val="32"/>
          <w:szCs w:val="32"/>
          <w:lang w:val="en-US" w:eastAsia="zh-CN"/>
        </w:rPr>
        <w:t>，之后将邀请法律和养老服务专家对《实施意见》进行了论证，我局进行了合法性初审，初审前听取了政策法规科意见。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30" w:lineRule="exact"/>
        <w:ind w:right="0" w:firstLine="640" w:firstLineChars="200"/>
        <w:textAlignment w:val="auto"/>
        <w:rPr>
          <w:rFonts w:hint="eastAsia" w:ascii="黑体" w:hAnsi="黑体" w:eastAsia="黑体" w:cs="黑体"/>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五、主要内容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《实施意见》分三部分，分别是主要目标、主要内容、保障措施。</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bidi="ar"/>
        </w:rPr>
        <w:t>第一部分，主要目标。以打造“中国北方最佳养老城市”为目标，</w:t>
      </w:r>
      <w:r>
        <w:rPr>
          <w:rFonts w:hint="eastAsia" w:ascii="仿宋_GB2312" w:hAnsi="仿宋_GB2312" w:eastAsia="仿宋_GB2312" w:cs="仿宋_GB2312"/>
          <w:sz w:val="32"/>
          <w:szCs w:val="32"/>
          <w:highlight w:val="none"/>
          <w:lang w:val="en-US" w:eastAsia="zh-CN"/>
        </w:rPr>
        <w:t>发挥“福寿烟台·康养胜地”品牌优势，</w:t>
      </w:r>
      <w:r>
        <w:rPr>
          <w:rFonts w:hint="eastAsia" w:ascii="仿宋_GB2312" w:hAnsi="仿宋_GB2312" w:eastAsia="仿宋_GB2312" w:cs="仿宋_GB2312"/>
          <w:color w:val="000000"/>
          <w:kern w:val="0"/>
          <w:sz w:val="32"/>
          <w:szCs w:val="32"/>
          <w:highlight w:val="none"/>
          <w:lang w:val="en-US" w:eastAsia="zh-CN" w:bidi="ar"/>
        </w:rPr>
        <w:t>重点围绕八项能力提升，构建“八升八有”发展框架，提升老年人获得感、幸福感、安全</w:t>
      </w:r>
      <w:r>
        <w:rPr>
          <w:rFonts w:hint="eastAsia" w:ascii="仿宋_GB2312" w:hAnsi="仿宋_GB2312" w:eastAsia="仿宋_GB2312" w:cs="仿宋_GB2312"/>
          <w:sz w:val="32"/>
          <w:szCs w:val="32"/>
          <w:highlight w:val="none"/>
          <w:lang w:val="en-US" w:eastAsia="zh-CN"/>
        </w:rPr>
        <w:t>感。到2025年底，在全市形成兜底养老有保障、基本养老能满足、中高端养老可提供的良好格局；到2030年底，构建起高标准供给、高水平普惠、高品质享老的烟台市养老服务事业产业协同发展体系。</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第二部分，主要内容。提升基本养老服务供给能力。逐步实现从“人找服务</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到</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服务找人</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推动基本养老服务从兜底到普惠，逐步实现人人享有。提升居家社区养老服务供给能力。推动和支持社会力量形成要素互通、服务互融、公益互助的养老模式，建设一批可复制、可推广的居家社区养老服务模板。提升医康养融合发展能力。推动养老服务与基本公共卫生服务、基本医疗服务、社区康复服务密切结合，打造“医养结合、康养结合、全域整体医康养一体化”的医养服务网络新格局。提升农村养老服务能力</w:t>
      </w:r>
      <w:r>
        <w:rPr>
          <w:rFonts w:hint="eastAsia" w:ascii="楷体_GB2312" w:hAnsi="楷体_GB2312" w:eastAsia="楷体_GB2312" w:cs="楷体_GB2312"/>
          <w:color w:val="000000"/>
          <w:kern w:val="0"/>
          <w:sz w:val="32"/>
          <w:szCs w:val="32"/>
          <w:highlight w:val="none"/>
          <w:lang w:val="en-US" w:eastAsia="zh-CN" w:bidi="ar"/>
        </w:rPr>
        <w:t>。</w:t>
      </w:r>
      <w:r>
        <w:rPr>
          <w:rFonts w:hint="eastAsia" w:ascii="仿宋_GB2312" w:hAnsi="仿宋_GB2312" w:eastAsia="仿宋_GB2312" w:cs="仿宋_GB2312"/>
          <w:sz w:val="32"/>
          <w:szCs w:val="32"/>
          <w:highlight w:val="none"/>
          <w:lang w:val="en-US" w:eastAsia="zh-CN"/>
        </w:rPr>
        <w:t>形成以村组互助养老、乡镇专业养老、县市兜底养老为主要导向的分层分类农村养老服务体系。提升养老人才队伍建设能力。探索“一人多能”的复合型养老服务人才培育路径，逐步实现养老护理员规模和质量适应养老事业发展需要。提升养老服务提质增效能力。</w:t>
      </w:r>
      <w:r>
        <w:rPr>
          <w:rFonts w:hint="eastAsia" w:ascii="仿宋_GB2312" w:hAnsi="仿宋_GB2312" w:eastAsia="仿宋_GB2312" w:cs="仿宋_GB2312"/>
          <w:kern w:val="2"/>
          <w:sz w:val="32"/>
          <w:szCs w:val="32"/>
          <w:highlight w:val="none"/>
          <w:lang w:val="en-US" w:eastAsia="zh-CN" w:bidi="ar-SA"/>
        </w:rPr>
        <w:t>加强机构安全监管，</w:t>
      </w:r>
      <w:r>
        <w:rPr>
          <w:rFonts w:hint="eastAsia" w:ascii="仿宋_GB2312" w:hAnsi="仿宋_GB2312" w:eastAsia="仿宋_GB2312" w:cs="仿宋_GB2312"/>
          <w:sz w:val="32"/>
          <w:szCs w:val="32"/>
          <w:highlight w:val="none"/>
          <w:lang w:val="en-US" w:eastAsia="zh-CN"/>
        </w:rPr>
        <w:t>健全政府、行业、社会等多层面采信监管机制，营造老有所为社会环境</w:t>
      </w:r>
      <w:r>
        <w:rPr>
          <w:rFonts w:hint="eastAsia" w:ascii="仿宋_GB2312" w:hAnsi="仿宋_GB2312" w:eastAsia="仿宋_GB2312" w:cs="仿宋_GB2312"/>
          <w:kern w:val="2"/>
          <w:sz w:val="32"/>
          <w:szCs w:val="32"/>
          <w:highlight w:val="none"/>
          <w:lang w:val="en-US" w:eastAsia="zh-CN" w:bidi="ar-SA"/>
        </w:rPr>
        <w:t>。提升金融信贷支持能力。</w:t>
      </w:r>
      <w:r>
        <w:rPr>
          <w:rFonts w:hint="eastAsia" w:ascii="仿宋_GB2312" w:hAnsi="仿宋_GB2312" w:eastAsia="仿宋_GB2312" w:cs="仿宋_GB2312"/>
          <w:sz w:val="32"/>
          <w:szCs w:val="32"/>
          <w:highlight w:val="none"/>
          <w:lang w:val="en-US" w:eastAsia="zh-CN"/>
        </w:rPr>
        <w:t>发挥银行、保险、基金等不同金融业态优势的供给合力，构建养老金融服务体系。提升养老产业优化升级能力</w:t>
      </w:r>
      <w:r>
        <w:rPr>
          <w:rFonts w:hint="eastAsia" w:ascii="楷体_GB2312" w:hAnsi="楷体_GB2312" w:eastAsia="楷体_GB2312" w:cs="楷体_GB2312"/>
          <w:color w:val="000000"/>
          <w:kern w:val="0"/>
          <w:sz w:val="32"/>
          <w:szCs w:val="32"/>
          <w:highlight w:val="none"/>
          <w:lang w:val="en-US" w:eastAsia="zh-CN" w:bidi="ar"/>
        </w:rPr>
        <w:t>。</w:t>
      </w:r>
      <w:r>
        <w:rPr>
          <w:rFonts w:hint="eastAsia" w:ascii="仿宋_GB2312" w:hAnsi="仿宋_GB2312" w:eastAsia="仿宋_GB2312" w:cs="仿宋_GB2312"/>
          <w:kern w:val="2"/>
          <w:sz w:val="32"/>
          <w:szCs w:val="32"/>
          <w:highlight w:val="none"/>
          <w:lang w:val="en-US" w:eastAsia="zh-CN" w:bidi="ar-SA"/>
        </w:rPr>
        <w:t>持续优化营商环境，形成产业关联性强、覆盖领域广的养老产业发展格局。</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kern w:val="2"/>
          <w:sz w:val="32"/>
          <w:szCs w:val="32"/>
          <w:highlight w:val="none"/>
          <w:lang w:val="en-US" w:eastAsia="zh-CN" w:bidi="ar-SA"/>
        </w:rPr>
        <w:sectPr>
          <w:footerReference r:id="rId3" w:type="default"/>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kern w:val="2"/>
          <w:sz w:val="32"/>
          <w:szCs w:val="32"/>
          <w:highlight w:val="none"/>
          <w:lang w:val="en-US" w:eastAsia="zh-CN" w:bidi="ar-SA"/>
        </w:rPr>
        <w:t>第三部分，保障措施。各级、各有关部门应当把养老服务高质量发展纳入为民办实事项目，将基本养老服务体系建设纳入相关规划和重要议事日程，建立健全养老服务工作协调机制，推动养老事业和产业协同发展，不断提升广大老年人的获得感、幸福感、满意度，营造良好社会氛围。</w:t>
      </w:r>
    </w:p>
    <w:p>
      <w:pPr>
        <w:pStyle w:val="2"/>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关于积极推进养老服务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color w:val="auto"/>
          <w:sz w:val="44"/>
          <w:szCs w:val="44"/>
          <w:lang w:eastAsia="zh-CN"/>
        </w:rPr>
        <w:t>事业产业协同</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高质量发展的实施意见</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为深入贯彻党的二十大精神，实施积极应对人口老龄化国家战略，推进</w:t>
      </w:r>
      <w:r>
        <w:rPr>
          <w:rFonts w:hint="default" w:ascii="仿宋_GB2312" w:hAnsi="仿宋_GB2312" w:eastAsia="仿宋_GB2312" w:cs="仿宋_GB2312"/>
          <w:color w:val="000000"/>
          <w:kern w:val="0"/>
          <w:sz w:val="32"/>
          <w:szCs w:val="32"/>
          <w:highlight w:val="none"/>
          <w:lang w:val="en-US" w:eastAsia="zh-CN" w:bidi="ar"/>
        </w:rPr>
        <w:t>发展养老事业和养老产业</w:t>
      </w:r>
      <w:r>
        <w:rPr>
          <w:rFonts w:hint="eastAsia" w:ascii="仿宋_GB2312" w:hAnsi="仿宋_GB2312" w:eastAsia="仿宋_GB2312" w:cs="仿宋_GB2312"/>
          <w:color w:val="000000"/>
          <w:kern w:val="0"/>
          <w:sz w:val="32"/>
          <w:szCs w:val="32"/>
          <w:highlight w:val="none"/>
          <w:lang w:val="en-US" w:eastAsia="zh-CN" w:bidi="ar"/>
        </w:rPr>
        <w:t>协同发展，培育经济发展新动能，根据</w:t>
      </w:r>
      <w:r>
        <w:rPr>
          <w:rFonts w:hint="eastAsia" w:ascii="仿宋_GB2312" w:hAnsi="仿宋_GB2312" w:eastAsia="仿宋_GB2312" w:cs="仿宋_GB2312"/>
          <w:i w:val="0"/>
          <w:caps w:val="0"/>
          <w:color w:val="000000"/>
          <w:spacing w:val="0"/>
          <w:kern w:val="2"/>
          <w:sz w:val="32"/>
          <w:szCs w:val="32"/>
          <w:highlight w:val="none"/>
          <w:lang w:val="en-US" w:eastAsia="zh-CN" w:bidi="zh-CN"/>
        </w:rPr>
        <w:t>《国务院办公厅关于发展银发经济增进老年人福祉的意见》</w:t>
      </w:r>
      <w:r>
        <w:rPr>
          <w:rFonts w:hint="eastAsia" w:ascii="仿宋_GB2312" w:hAnsi="仿宋_GB2312" w:eastAsia="仿宋_GB2312" w:cs="仿宋_GB2312"/>
          <w:color w:val="000000"/>
          <w:kern w:val="0"/>
          <w:sz w:val="32"/>
          <w:szCs w:val="32"/>
          <w:highlight w:val="none"/>
          <w:lang w:val="en-US" w:eastAsia="zh-CN" w:bidi="ar"/>
        </w:rPr>
        <w:t>《山东省养老服务高质量发展三年行动计划（2024-2026年）》《烟台市养老服务条例》要求，现结合我市实际，制定本实施意见。</w:t>
      </w:r>
    </w:p>
    <w:p>
      <w:pPr>
        <w:pStyle w:val="6"/>
        <w:keepNext w:val="0"/>
        <w:keepLines w:val="0"/>
        <w:pageBreakBefore w:val="0"/>
        <w:widowControl w:val="0"/>
        <w:numPr>
          <w:ilvl w:val="0"/>
          <w:numId w:val="0"/>
        </w:numPr>
        <w:kinsoku/>
        <w:wordWrap/>
        <w:overflowPunct/>
        <w:topLinePunct w:val="0"/>
        <w:autoSpaceDN/>
        <w:bidi w:val="0"/>
        <w:spacing w:line="560" w:lineRule="exact"/>
        <w:ind w:firstLine="640" w:firstLineChars="200"/>
        <w:jc w:val="both"/>
        <w:textAlignment w:val="auto"/>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一、主要目标</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bidi="ar"/>
        </w:rPr>
        <w:t>以打造“中国北方最佳养老城市”为目标，</w:t>
      </w:r>
      <w:r>
        <w:rPr>
          <w:rFonts w:hint="eastAsia" w:ascii="仿宋_GB2312" w:hAnsi="仿宋_GB2312" w:eastAsia="仿宋_GB2312" w:cs="仿宋_GB2312"/>
          <w:sz w:val="32"/>
          <w:szCs w:val="32"/>
          <w:highlight w:val="none"/>
          <w:lang w:val="en-US" w:eastAsia="zh-CN"/>
        </w:rPr>
        <w:t>发挥“福寿烟台·康养胜地”品牌优势，不断满足老年人多样化、多层次养老服务需求，健全工作机制，创新工作思路，强化社会协同，</w:t>
      </w:r>
      <w:r>
        <w:rPr>
          <w:rFonts w:hint="eastAsia" w:ascii="仿宋_GB2312" w:hAnsi="仿宋_GB2312" w:eastAsia="仿宋_GB2312" w:cs="仿宋_GB2312"/>
          <w:color w:val="000000"/>
          <w:kern w:val="0"/>
          <w:sz w:val="32"/>
          <w:szCs w:val="32"/>
          <w:highlight w:val="none"/>
          <w:lang w:val="en-US" w:eastAsia="zh-CN" w:bidi="ar"/>
        </w:rPr>
        <w:t>重点围绕八项能力提升，构建“八升八有”发展框架，提升老年人获得感、幸福感、安全</w:t>
      </w:r>
      <w:r>
        <w:rPr>
          <w:rFonts w:hint="eastAsia" w:ascii="仿宋_GB2312" w:hAnsi="仿宋_GB2312" w:eastAsia="仿宋_GB2312" w:cs="仿宋_GB2312"/>
          <w:sz w:val="32"/>
          <w:szCs w:val="32"/>
          <w:highlight w:val="none"/>
          <w:lang w:val="en-US" w:eastAsia="zh-CN"/>
        </w:rPr>
        <w:t>感。到2025年底，在全市形成兜底养老有保障、基本养老能满足、中高端养老可提供的良好格局；到2030年底，构建起高标准供给、高水平普惠、高品质享老的烟台市养老服务事业产业协同发展体系。</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highlight w:val="none"/>
          <w:shd w:val="clear" w:fill="FFFFFF"/>
          <w:lang w:eastAsia="zh-CN"/>
        </w:rPr>
      </w:pPr>
      <w:r>
        <w:rPr>
          <w:rFonts w:hint="eastAsia" w:ascii="楷体_GB2312" w:hAnsi="楷体_GB2312" w:eastAsia="楷体_GB2312" w:cs="楷体_GB2312"/>
          <w:color w:val="000000"/>
          <w:kern w:val="0"/>
          <w:sz w:val="32"/>
          <w:szCs w:val="32"/>
          <w:highlight w:val="none"/>
          <w:lang w:eastAsia="zh-CN" w:bidi="ar"/>
        </w:rPr>
        <w:t>——</w:t>
      </w:r>
      <w:r>
        <w:rPr>
          <w:rFonts w:hint="eastAsia" w:ascii="楷体_GB2312" w:hAnsi="楷体_GB2312" w:eastAsia="楷体_GB2312" w:cs="楷体_GB2312"/>
          <w:color w:val="000000"/>
          <w:kern w:val="0"/>
          <w:sz w:val="32"/>
          <w:szCs w:val="32"/>
          <w:highlight w:val="none"/>
          <w:lang w:val="en-US" w:eastAsia="zh-CN" w:bidi="ar"/>
        </w:rPr>
        <w:t>兜底保障有维度。</w:t>
      </w:r>
      <w:r>
        <w:rPr>
          <w:rFonts w:hint="eastAsia" w:ascii="仿宋_GB2312" w:hAnsi="仿宋_GB2312" w:eastAsia="仿宋_GB2312" w:cs="仿宋_GB2312"/>
          <w:sz w:val="32"/>
          <w:szCs w:val="32"/>
          <w:highlight w:val="none"/>
          <w:lang w:val="en-US" w:eastAsia="zh-CN"/>
        </w:rPr>
        <w:t>全面建立困难老年人精准识别和动态管理机制，</w:t>
      </w:r>
      <w:r>
        <w:rPr>
          <w:rFonts w:ascii="仿宋_GB2312" w:hAnsi="宋体" w:eastAsia="仿宋_GB2312" w:cs="仿宋_GB2312"/>
          <w:i w:val="0"/>
          <w:iCs w:val="0"/>
          <w:caps w:val="0"/>
          <w:color w:val="000000"/>
          <w:spacing w:val="0"/>
          <w:sz w:val="32"/>
          <w:szCs w:val="32"/>
          <w:highlight w:val="none"/>
          <w:shd w:val="clear" w:fill="FFFFFF"/>
        </w:rPr>
        <w:t>逐步实现从</w:t>
      </w:r>
      <w:r>
        <w:rPr>
          <w:rFonts w:ascii="Times New Roman" w:hAnsi="Times New Roman" w:eastAsia="宋体" w:cs="Times New Roman"/>
          <w:i w:val="0"/>
          <w:iCs w:val="0"/>
          <w:caps w:val="0"/>
          <w:color w:val="000000"/>
          <w:spacing w:val="0"/>
          <w:sz w:val="32"/>
          <w:szCs w:val="32"/>
          <w:highlight w:val="none"/>
          <w:shd w:val="clear" w:fill="FFFFFF"/>
        </w:rPr>
        <w:t>“</w:t>
      </w:r>
      <w:r>
        <w:rPr>
          <w:rFonts w:hint="eastAsia" w:ascii="仿宋_GB2312" w:hAnsi="宋体" w:eastAsia="仿宋_GB2312" w:cs="仿宋_GB2312"/>
          <w:i w:val="0"/>
          <w:iCs w:val="0"/>
          <w:caps w:val="0"/>
          <w:color w:val="000000"/>
          <w:spacing w:val="0"/>
          <w:sz w:val="32"/>
          <w:szCs w:val="32"/>
          <w:highlight w:val="none"/>
          <w:shd w:val="clear" w:fill="FFFFFF"/>
        </w:rPr>
        <w:t>人找服务</w:t>
      </w:r>
      <w:r>
        <w:rPr>
          <w:rFonts w:hint="default" w:ascii="Times New Roman" w:hAnsi="Times New Roman" w:eastAsia="宋体" w:cs="Times New Roman"/>
          <w:i w:val="0"/>
          <w:iCs w:val="0"/>
          <w:caps w:val="0"/>
          <w:color w:val="000000"/>
          <w:spacing w:val="0"/>
          <w:sz w:val="32"/>
          <w:szCs w:val="32"/>
          <w:highlight w:val="none"/>
          <w:shd w:val="clear" w:fill="FFFFFF"/>
        </w:rPr>
        <w:t>”</w:t>
      </w:r>
      <w:r>
        <w:rPr>
          <w:rFonts w:hint="eastAsia" w:ascii="仿宋_GB2312" w:hAnsi="宋体" w:eastAsia="仿宋_GB2312" w:cs="仿宋_GB2312"/>
          <w:i w:val="0"/>
          <w:iCs w:val="0"/>
          <w:caps w:val="0"/>
          <w:color w:val="000000"/>
          <w:spacing w:val="0"/>
          <w:sz w:val="32"/>
          <w:szCs w:val="32"/>
          <w:highlight w:val="none"/>
          <w:shd w:val="clear" w:fill="FFFFFF"/>
        </w:rPr>
        <w:t>到</w:t>
      </w:r>
      <w:r>
        <w:rPr>
          <w:rFonts w:hint="default" w:ascii="Times New Roman" w:hAnsi="Times New Roman" w:eastAsia="宋体" w:cs="Times New Roman"/>
          <w:i w:val="0"/>
          <w:iCs w:val="0"/>
          <w:caps w:val="0"/>
          <w:color w:val="000000"/>
          <w:spacing w:val="0"/>
          <w:sz w:val="32"/>
          <w:szCs w:val="32"/>
          <w:highlight w:val="none"/>
          <w:shd w:val="clear" w:fill="FFFFFF"/>
        </w:rPr>
        <w:t>“</w:t>
      </w:r>
      <w:r>
        <w:rPr>
          <w:rFonts w:hint="eastAsia" w:ascii="仿宋_GB2312" w:hAnsi="宋体" w:eastAsia="仿宋_GB2312" w:cs="仿宋_GB2312"/>
          <w:i w:val="0"/>
          <w:iCs w:val="0"/>
          <w:caps w:val="0"/>
          <w:color w:val="000000"/>
          <w:spacing w:val="0"/>
          <w:sz w:val="32"/>
          <w:szCs w:val="32"/>
          <w:highlight w:val="none"/>
          <w:shd w:val="clear" w:fill="FFFFFF"/>
        </w:rPr>
        <w:t>服务找人</w:t>
      </w:r>
      <w:r>
        <w:rPr>
          <w:rFonts w:hint="default" w:ascii="Times New Roman" w:hAnsi="Times New Roman" w:eastAsia="宋体" w:cs="Times New Roman"/>
          <w:i w:val="0"/>
          <w:iCs w:val="0"/>
          <w:caps w:val="0"/>
          <w:color w:val="000000"/>
          <w:spacing w:val="0"/>
          <w:sz w:val="32"/>
          <w:szCs w:val="32"/>
          <w:highlight w:val="none"/>
          <w:shd w:val="clear" w:fill="FFFFFF"/>
        </w:rPr>
        <w:t>”</w:t>
      </w:r>
      <w:r>
        <w:rPr>
          <w:rFonts w:hint="eastAsia" w:ascii="Times New Roman" w:hAnsi="Times New Roman" w:eastAsia="宋体" w:cs="Times New Roman"/>
          <w:i w:val="0"/>
          <w:iCs w:val="0"/>
          <w:caps w:val="0"/>
          <w:color w:val="000000"/>
          <w:spacing w:val="0"/>
          <w:sz w:val="32"/>
          <w:szCs w:val="32"/>
          <w:highlight w:val="none"/>
          <w:shd w:val="clear" w:fill="FFFFFF"/>
          <w:lang w:eastAsia="zh-CN"/>
        </w:rPr>
        <w:t>，</w:t>
      </w:r>
      <w:r>
        <w:rPr>
          <w:rFonts w:hint="eastAsia" w:ascii="仿宋_GB2312" w:hAnsi="宋体" w:eastAsia="仿宋_GB2312" w:cs="仿宋_GB2312"/>
          <w:i w:val="0"/>
          <w:iCs w:val="0"/>
          <w:caps w:val="0"/>
          <w:color w:val="000000"/>
          <w:spacing w:val="0"/>
          <w:sz w:val="32"/>
          <w:szCs w:val="32"/>
          <w:highlight w:val="none"/>
          <w:shd w:val="clear" w:fill="FFFFFF"/>
        </w:rPr>
        <w:t>推动基本养老服务从</w:t>
      </w:r>
      <w:r>
        <w:rPr>
          <w:rFonts w:hint="eastAsia" w:ascii="仿宋_GB2312" w:hAnsi="宋体" w:eastAsia="仿宋_GB2312" w:cs="仿宋_GB2312"/>
          <w:i w:val="0"/>
          <w:iCs w:val="0"/>
          <w:caps w:val="0"/>
          <w:color w:val="000000"/>
          <w:spacing w:val="0"/>
          <w:sz w:val="32"/>
          <w:szCs w:val="32"/>
          <w:highlight w:val="none"/>
          <w:shd w:val="clear" w:fill="FFFFFF"/>
          <w:lang w:eastAsia="zh-CN"/>
        </w:rPr>
        <w:t>兜底</w:t>
      </w:r>
      <w:r>
        <w:rPr>
          <w:rFonts w:hint="eastAsia" w:ascii="仿宋_GB2312" w:hAnsi="宋体" w:eastAsia="仿宋_GB2312" w:cs="仿宋_GB2312"/>
          <w:i w:val="0"/>
          <w:iCs w:val="0"/>
          <w:caps w:val="0"/>
          <w:color w:val="000000"/>
          <w:spacing w:val="0"/>
          <w:sz w:val="32"/>
          <w:szCs w:val="32"/>
          <w:highlight w:val="none"/>
          <w:shd w:val="clear" w:fill="FFFFFF"/>
        </w:rPr>
        <w:t>到普惠，逐步实现人人享有</w:t>
      </w:r>
      <w:r>
        <w:rPr>
          <w:rFonts w:hint="eastAsia" w:ascii="仿宋_GB2312" w:hAnsi="宋体" w:eastAsia="仿宋_GB2312" w:cs="仿宋_GB2312"/>
          <w:i w:val="0"/>
          <w:iCs w:val="0"/>
          <w:caps w:val="0"/>
          <w:color w:val="000000"/>
          <w:spacing w:val="0"/>
          <w:sz w:val="32"/>
          <w:szCs w:val="32"/>
          <w:highlight w:val="none"/>
          <w:shd w:val="clear" w:fill="FFFFFF"/>
          <w:lang w:eastAsia="zh-CN"/>
        </w:rPr>
        <w:t>。</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color w:val="000000"/>
          <w:kern w:val="0"/>
          <w:sz w:val="32"/>
          <w:szCs w:val="32"/>
          <w:highlight w:val="none"/>
          <w:lang w:eastAsia="zh-CN" w:bidi="ar"/>
        </w:rPr>
        <w:t>——</w:t>
      </w:r>
      <w:r>
        <w:rPr>
          <w:rFonts w:hint="eastAsia" w:ascii="楷体_GB2312" w:hAnsi="楷体_GB2312" w:eastAsia="楷体_GB2312" w:cs="楷体_GB2312"/>
          <w:color w:val="000000"/>
          <w:kern w:val="0"/>
          <w:sz w:val="32"/>
          <w:szCs w:val="32"/>
          <w:highlight w:val="none"/>
          <w:lang w:val="en-US" w:eastAsia="zh-CN" w:bidi="ar"/>
        </w:rPr>
        <w:t>居家供给有广度。</w:t>
      </w:r>
      <w:r>
        <w:rPr>
          <w:rFonts w:hint="eastAsia" w:ascii="仿宋_GB2312" w:hAnsi="仿宋_GB2312" w:eastAsia="仿宋_GB2312" w:cs="仿宋_GB2312"/>
          <w:sz w:val="32"/>
          <w:szCs w:val="32"/>
          <w:highlight w:val="none"/>
          <w:lang w:val="en-US" w:eastAsia="zh-CN"/>
        </w:rPr>
        <w:t>政府购买居家养老服务持续扩面，着力发挥智慧化信息化作用，推动和支持社会力量形成要素互通、服务互融、公益互助的养老模式，建设一批可复制、可推广的居家社区养老服务模板。</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楷体_GB2312" w:hAnsi="楷体_GB2312" w:eastAsia="楷体_GB2312" w:cs="楷体_GB2312"/>
          <w:color w:val="000000"/>
          <w:kern w:val="0"/>
          <w:sz w:val="32"/>
          <w:szCs w:val="32"/>
          <w:highlight w:val="none"/>
          <w:lang w:val="en-US" w:eastAsia="zh-CN" w:bidi="ar"/>
        </w:rPr>
      </w:pPr>
      <w:r>
        <w:rPr>
          <w:rFonts w:hint="eastAsia" w:ascii="楷体_GB2312" w:hAnsi="楷体_GB2312" w:eastAsia="楷体_GB2312" w:cs="楷体_GB2312"/>
          <w:color w:val="000000"/>
          <w:kern w:val="0"/>
          <w:sz w:val="32"/>
          <w:szCs w:val="32"/>
          <w:highlight w:val="none"/>
          <w:lang w:eastAsia="zh-CN" w:bidi="ar"/>
        </w:rPr>
        <w:t>——</w:t>
      </w:r>
      <w:r>
        <w:rPr>
          <w:rFonts w:hint="eastAsia" w:ascii="楷体_GB2312" w:hAnsi="楷体_GB2312" w:eastAsia="楷体_GB2312" w:cs="楷体_GB2312"/>
          <w:color w:val="000000"/>
          <w:kern w:val="0"/>
          <w:sz w:val="32"/>
          <w:szCs w:val="32"/>
          <w:highlight w:val="none"/>
          <w:lang w:val="en-US" w:eastAsia="zh-CN" w:bidi="ar"/>
        </w:rPr>
        <w:t>医养融合有深度。</w:t>
      </w:r>
      <w:r>
        <w:rPr>
          <w:rFonts w:hint="eastAsia" w:ascii="仿宋_GB2312" w:hAnsi="仿宋_GB2312" w:eastAsia="仿宋_GB2312" w:cs="仿宋_GB2312"/>
          <w:sz w:val="32"/>
          <w:szCs w:val="32"/>
          <w:highlight w:val="none"/>
          <w:lang w:val="en-US" w:eastAsia="zh-CN"/>
        </w:rPr>
        <w:t>强化医养政策衔接、资源共享和服务融合，推动养老服务与基本公共卫生服务、基本医疗服务、社区康复服务密切结合，打造“医养结合、康养结合、全域整体医康养一体化”的医养服务网络新格局。</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楷体_GB2312" w:hAnsi="楷体_GB2312" w:eastAsia="楷体_GB2312" w:cs="楷体_GB2312"/>
          <w:color w:val="000000"/>
          <w:kern w:val="0"/>
          <w:sz w:val="32"/>
          <w:szCs w:val="32"/>
          <w:highlight w:val="none"/>
          <w:lang w:val="en-US" w:eastAsia="zh-CN" w:bidi="ar"/>
        </w:rPr>
      </w:pPr>
      <w:r>
        <w:rPr>
          <w:rFonts w:hint="eastAsia" w:ascii="楷体_GB2312" w:hAnsi="楷体_GB2312" w:eastAsia="楷体_GB2312" w:cs="楷体_GB2312"/>
          <w:color w:val="000000"/>
          <w:kern w:val="0"/>
          <w:sz w:val="32"/>
          <w:szCs w:val="32"/>
          <w:highlight w:val="none"/>
          <w:lang w:eastAsia="zh-CN" w:bidi="ar"/>
        </w:rPr>
        <w:t>——</w:t>
      </w:r>
      <w:r>
        <w:rPr>
          <w:rFonts w:hint="eastAsia" w:ascii="楷体_GB2312" w:hAnsi="楷体_GB2312" w:eastAsia="楷体_GB2312" w:cs="楷体_GB2312"/>
          <w:color w:val="000000"/>
          <w:kern w:val="0"/>
          <w:sz w:val="32"/>
          <w:szCs w:val="32"/>
          <w:highlight w:val="none"/>
          <w:lang w:val="en-US" w:eastAsia="zh-CN" w:bidi="ar"/>
        </w:rPr>
        <w:t>村居养老有温度。</w:t>
      </w:r>
      <w:r>
        <w:rPr>
          <w:rFonts w:hint="eastAsia" w:ascii="仿宋_GB2312" w:hAnsi="仿宋_GB2312" w:eastAsia="仿宋_GB2312" w:cs="仿宋_GB2312"/>
          <w:kern w:val="2"/>
          <w:sz w:val="32"/>
          <w:szCs w:val="32"/>
          <w:highlight w:val="none"/>
          <w:lang w:val="en-US" w:eastAsia="zh-CN" w:bidi="ar-SA"/>
        </w:rPr>
        <w:t>推动</w:t>
      </w:r>
      <w:r>
        <w:rPr>
          <w:rFonts w:hint="eastAsia" w:ascii="仿宋_GB2312" w:hAnsi="仿宋_GB2312" w:eastAsia="仿宋_GB2312" w:cs="仿宋_GB2312"/>
          <w:sz w:val="32"/>
          <w:szCs w:val="32"/>
          <w:highlight w:val="none"/>
          <w:lang w:val="en-US" w:eastAsia="zh-CN"/>
        </w:rPr>
        <w:t>优质品牌化、连锁化养老服务企业拓展农村社会化养老服务，形成以村组互助养老、乡镇专业养老、县市兜底养老为主要导向的分层分类农村养老服务体系。</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color w:val="000000"/>
          <w:kern w:val="0"/>
          <w:sz w:val="32"/>
          <w:szCs w:val="32"/>
          <w:highlight w:val="none"/>
          <w:lang w:eastAsia="zh-CN" w:bidi="ar"/>
        </w:rPr>
        <w:t>——</w:t>
      </w:r>
      <w:r>
        <w:rPr>
          <w:rFonts w:hint="eastAsia" w:ascii="楷体_GB2312" w:hAnsi="楷体_GB2312" w:eastAsia="楷体_GB2312" w:cs="楷体_GB2312"/>
          <w:color w:val="000000"/>
          <w:kern w:val="0"/>
          <w:sz w:val="32"/>
          <w:szCs w:val="32"/>
          <w:highlight w:val="none"/>
          <w:lang w:val="en-US" w:eastAsia="zh-CN" w:bidi="ar"/>
        </w:rPr>
        <w:t>队伍建设有实力。</w:t>
      </w:r>
      <w:r>
        <w:rPr>
          <w:rFonts w:hint="eastAsia" w:ascii="仿宋_GB2312" w:hAnsi="仿宋_GB2312" w:eastAsia="仿宋_GB2312" w:cs="仿宋_GB2312"/>
          <w:sz w:val="32"/>
          <w:szCs w:val="32"/>
          <w:highlight w:val="none"/>
          <w:lang w:val="en-US" w:eastAsia="zh-CN"/>
        </w:rPr>
        <w:t>健全养老服务人才培训、使用、评价、竞赛、激励机制，探索“一人多能”的复合型养老服务人才培育路径，逐步实现养老护理员规模和质量适应养老事业发展需要。</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color w:val="000000"/>
          <w:kern w:val="0"/>
          <w:sz w:val="32"/>
          <w:szCs w:val="32"/>
          <w:highlight w:val="none"/>
          <w:lang w:eastAsia="zh-CN" w:bidi="ar"/>
        </w:rPr>
        <w:t>——</w:t>
      </w:r>
      <w:r>
        <w:rPr>
          <w:rFonts w:hint="eastAsia" w:ascii="楷体_GB2312" w:hAnsi="楷体_GB2312" w:eastAsia="楷体_GB2312" w:cs="楷体_GB2312"/>
          <w:color w:val="000000"/>
          <w:kern w:val="0"/>
          <w:sz w:val="32"/>
          <w:szCs w:val="32"/>
          <w:highlight w:val="none"/>
          <w:lang w:val="en-US" w:eastAsia="zh-CN" w:bidi="ar"/>
        </w:rPr>
        <w:t>提质增能</w:t>
      </w:r>
      <w:r>
        <w:rPr>
          <w:rFonts w:hint="eastAsia" w:ascii="楷体_GB2312" w:hAnsi="楷体_GB2312" w:eastAsia="楷体_GB2312" w:cs="楷体_GB2312"/>
          <w:sz w:val="32"/>
          <w:szCs w:val="32"/>
          <w:highlight w:val="none"/>
          <w:lang w:val="en-US" w:eastAsia="zh-CN"/>
        </w:rPr>
        <w:t>有效力</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kern w:val="2"/>
          <w:sz w:val="32"/>
          <w:szCs w:val="32"/>
          <w:highlight w:val="none"/>
          <w:lang w:val="en-US" w:eastAsia="zh-CN" w:bidi="ar-SA"/>
        </w:rPr>
        <w:t>加强机构安全监管，</w:t>
      </w:r>
      <w:r>
        <w:rPr>
          <w:rFonts w:hint="eastAsia" w:ascii="仿宋_GB2312" w:hAnsi="仿宋_GB2312" w:eastAsia="仿宋_GB2312" w:cs="仿宋_GB2312"/>
          <w:sz w:val="32"/>
          <w:szCs w:val="32"/>
          <w:highlight w:val="none"/>
          <w:lang w:val="en-US" w:eastAsia="zh-CN"/>
        </w:rPr>
        <w:t>健全政府、行业、社会等多层面采信监管机制，深化养老服务标准化智慧化赋能，营造老有所为社会环境</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楷体_GB2312" w:hAnsi="楷体_GB2312" w:eastAsia="楷体_GB2312" w:cs="楷体_GB2312"/>
          <w:color w:val="000000"/>
          <w:kern w:val="0"/>
          <w:sz w:val="32"/>
          <w:szCs w:val="32"/>
          <w:highlight w:val="none"/>
          <w:lang w:val="en-US" w:eastAsia="zh-CN" w:bidi="ar"/>
        </w:rPr>
      </w:pPr>
      <w:r>
        <w:rPr>
          <w:rFonts w:hint="eastAsia" w:ascii="楷体_GB2312" w:hAnsi="楷体_GB2312" w:eastAsia="楷体_GB2312" w:cs="楷体_GB2312"/>
          <w:color w:val="000000"/>
          <w:kern w:val="0"/>
          <w:sz w:val="32"/>
          <w:szCs w:val="32"/>
          <w:highlight w:val="none"/>
          <w:lang w:eastAsia="zh-CN" w:bidi="ar"/>
        </w:rPr>
        <w:t>——</w:t>
      </w:r>
      <w:r>
        <w:rPr>
          <w:rFonts w:hint="eastAsia" w:ascii="楷体_GB2312" w:hAnsi="楷体_GB2312" w:eastAsia="楷体_GB2312" w:cs="楷体_GB2312"/>
          <w:color w:val="000000"/>
          <w:kern w:val="0"/>
          <w:sz w:val="32"/>
          <w:szCs w:val="32"/>
          <w:highlight w:val="none"/>
          <w:lang w:val="en-US" w:eastAsia="zh-CN" w:bidi="ar"/>
        </w:rPr>
        <w:t>金融支持有张力。</w:t>
      </w:r>
      <w:r>
        <w:rPr>
          <w:rFonts w:hint="eastAsia" w:ascii="仿宋_GB2312" w:hAnsi="仿宋_GB2312" w:eastAsia="仿宋_GB2312" w:cs="仿宋_GB2312"/>
          <w:sz w:val="32"/>
          <w:szCs w:val="32"/>
          <w:highlight w:val="none"/>
          <w:lang w:val="en-US" w:eastAsia="zh-CN"/>
        </w:rPr>
        <w:t>发挥银行、保险、基金等不同金融业态优势的供给合力，构建线上金融服务适老化改进和线下数字化生活场景便利可及的养老金融服务体系。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spacing w:before="0" w:beforeAutospacing="0" w:after="0" w:afterAutospacing="0" w:line="560" w:lineRule="exact"/>
        <w:ind w:right="0" w:firstLine="640" w:firstLineChars="200"/>
        <w:textAlignment w:val="baseline"/>
        <w:rPr>
          <w:rFonts w:hint="eastAsia"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color w:val="000000"/>
          <w:kern w:val="0"/>
          <w:sz w:val="32"/>
          <w:szCs w:val="32"/>
          <w:highlight w:val="none"/>
          <w:lang w:eastAsia="zh-CN" w:bidi="ar"/>
        </w:rPr>
        <w:t>——</w:t>
      </w:r>
      <w:r>
        <w:rPr>
          <w:rFonts w:hint="eastAsia" w:ascii="楷体_GB2312" w:hAnsi="楷体_GB2312" w:eastAsia="楷体_GB2312" w:cs="楷体_GB2312"/>
          <w:color w:val="000000"/>
          <w:kern w:val="0"/>
          <w:sz w:val="32"/>
          <w:szCs w:val="32"/>
          <w:highlight w:val="none"/>
          <w:lang w:val="en-US" w:eastAsia="zh-CN" w:bidi="ar"/>
        </w:rPr>
        <w:t>产业升级有魄力。</w:t>
      </w:r>
      <w:r>
        <w:rPr>
          <w:rFonts w:hint="eastAsia" w:ascii="仿宋_GB2312" w:hAnsi="仿宋_GB2312" w:eastAsia="仿宋_GB2312" w:cs="仿宋_GB2312"/>
          <w:kern w:val="2"/>
          <w:sz w:val="32"/>
          <w:szCs w:val="32"/>
          <w:highlight w:val="none"/>
          <w:lang w:val="en-US" w:eastAsia="zh-CN" w:bidi="ar-SA"/>
        </w:rPr>
        <w:t>全面开放养老服务市场，持续优化营商环境，繁荣老年用品产品市场，将养老产业培育为新的经济增长点，形成产业关联性强、覆盖领域广的养老产业发展格局。</w:t>
      </w:r>
    </w:p>
    <w:p>
      <w:pPr>
        <w:pStyle w:val="6"/>
        <w:keepNext w:val="0"/>
        <w:keepLines w:val="0"/>
        <w:pageBreakBefore w:val="0"/>
        <w:widowControl w:val="0"/>
        <w:numPr>
          <w:ilvl w:val="0"/>
          <w:numId w:val="0"/>
        </w:numPr>
        <w:kinsoku/>
        <w:wordWrap/>
        <w:overflowPunct/>
        <w:topLinePunct w:val="0"/>
        <w:autoSpaceDN/>
        <w:bidi w:val="0"/>
        <w:spacing w:line="560" w:lineRule="exact"/>
        <w:ind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二、主要内容</w:t>
      </w:r>
    </w:p>
    <w:p>
      <w:pPr>
        <w:pStyle w:val="6"/>
        <w:keepNext w:val="0"/>
        <w:keepLines w:val="0"/>
        <w:pageBreakBefore w:val="0"/>
        <w:widowControl w:val="0"/>
        <w:numPr>
          <w:ilvl w:val="0"/>
          <w:numId w:val="0"/>
        </w:numPr>
        <w:kinsoku/>
        <w:wordWrap/>
        <w:overflowPunct/>
        <w:topLinePunct w:val="0"/>
        <w:autoSpaceDN/>
        <w:bidi w:val="0"/>
        <w:spacing w:line="560" w:lineRule="exact"/>
        <w:ind w:firstLine="640" w:firstLineChars="200"/>
        <w:jc w:val="both"/>
        <w:textAlignment w:val="auto"/>
        <w:rPr>
          <w:rFonts w:hint="eastAsia"/>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（一）提升基本养老服务供给能力</w:t>
      </w:r>
    </w:p>
    <w:p>
      <w:pPr>
        <w:pStyle w:val="6"/>
        <w:keepNext w:val="0"/>
        <w:keepLines w:val="0"/>
        <w:pageBreakBefore w:val="0"/>
        <w:kinsoku/>
        <w:wordWrap/>
        <w:overflowPunct/>
        <w:topLinePunct w:val="0"/>
        <w:autoSpaceDN/>
        <w:bidi w:val="0"/>
        <w:spacing w:line="560" w:lineRule="exact"/>
        <w:ind w:firstLine="642" w:firstLineChars="200"/>
        <w:rPr>
          <w:rFonts w:hint="eastAsia"/>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1.</w:t>
      </w:r>
      <w:r>
        <w:rPr>
          <w:rFonts w:hint="eastAsia" w:cs="仿宋_GB2312"/>
          <w:b/>
          <w:bCs/>
          <w:kern w:val="2"/>
          <w:sz w:val="32"/>
          <w:szCs w:val="32"/>
          <w:highlight w:val="none"/>
          <w:lang w:val="en-US" w:eastAsia="zh-CN" w:bidi="ar-SA"/>
        </w:rPr>
        <w:t>健全基本养老服务体系。</w:t>
      </w:r>
      <w:r>
        <w:rPr>
          <w:rFonts w:hint="eastAsia" w:hAnsi="仿宋_GB2312" w:cs="仿宋_GB2312"/>
          <w:color w:val="000000"/>
          <w:sz w:val="32"/>
          <w:szCs w:val="32"/>
          <w:highlight w:val="none"/>
          <w:lang w:val="en-US" w:eastAsia="zh-CN"/>
        </w:rPr>
        <w:t>全面建立面向特困人员的集中供养</w:t>
      </w:r>
      <w:r>
        <w:rPr>
          <w:rFonts w:hint="eastAsia" w:cs="仿宋_GB2312"/>
          <w:color w:val="000000"/>
          <w:sz w:val="32"/>
          <w:szCs w:val="32"/>
          <w:highlight w:val="none"/>
          <w:lang w:val="en-US" w:eastAsia="zh-CN"/>
        </w:rPr>
        <w:t>制度，</w:t>
      </w:r>
      <w:r>
        <w:rPr>
          <w:rFonts w:hint="eastAsia" w:hAnsi="仿宋_GB2312" w:cs="仿宋_GB2312"/>
          <w:color w:val="000000"/>
          <w:sz w:val="32"/>
          <w:szCs w:val="32"/>
          <w:highlight w:val="none"/>
          <w:lang w:val="en-US" w:eastAsia="zh-CN"/>
        </w:rPr>
        <w:t>面向经济困难失能老年人的养老补贴、入住机构补贴制度以及面向独居、空巢、留守、失能、重残、计划生育特殊家庭等特殊老年人的探访关爱、委托代办等制度。</w:t>
      </w:r>
      <w:r>
        <w:rPr>
          <w:rFonts w:hint="eastAsia" w:ascii="仿宋_GB2312" w:hAnsi="仿宋_GB2312" w:eastAsia="仿宋_GB2312" w:cs="仿宋_GB2312"/>
          <w:kern w:val="2"/>
          <w:sz w:val="32"/>
          <w:szCs w:val="32"/>
          <w:highlight w:val="none"/>
          <w:lang w:val="en-US" w:eastAsia="zh-CN" w:bidi="ar-SA"/>
        </w:rPr>
        <w:t>全面落实基本养老服务清单制度，</w:t>
      </w:r>
      <w:r>
        <w:rPr>
          <w:rFonts w:hint="eastAsia" w:cs="仿宋_GB2312"/>
          <w:kern w:val="2"/>
          <w:sz w:val="32"/>
          <w:szCs w:val="32"/>
          <w:highlight w:val="none"/>
          <w:lang w:val="en-US" w:eastAsia="zh-CN" w:bidi="ar-SA"/>
        </w:rPr>
        <w:t>并形成</w:t>
      </w:r>
      <w:r>
        <w:rPr>
          <w:rFonts w:hint="eastAsia" w:ascii="仿宋_GB2312" w:hAnsi="仿宋_GB2312" w:eastAsia="仿宋_GB2312" w:cs="仿宋_GB2312"/>
          <w:sz w:val="32"/>
          <w:szCs w:val="32"/>
          <w:highlight w:val="none"/>
          <w:lang w:val="en-US" w:eastAsia="zh-CN"/>
        </w:rPr>
        <w:t>动态调整的长效机制，</w:t>
      </w:r>
      <w:r>
        <w:rPr>
          <w:rFonts w:hint="eastAsia" w:cs="仿宋_GB2312"/>
          <w:sz w:val="32"/>
          <w:szCs w:val="32"/>
          <w:highlight w:val="none"/>
          <w:lang w:val="en-US" w:eastAsia="zh-CN"/>
        </w:rPr>
        <w:t>到2025年，基本养老服务制度体系覆盖全体老年人，</w:t>
      </w:r>
      <w:r>
        <w:rPr>
          <w:rFonts w:hint="eastAsia" w:hAnsi="仿宋_GB2312" w:cs="仿宋_GB2312"/>
          <w:color w:val="000000"/>
          <w:sz w:val="32"/>
          <w:szCs w:val="32"/>
          <w:highlight w:val="none"/>
          <w:lang w:val="en-US" w:eastAsia="zh-CN"/>
        </w:rPr>
        <w:t>有集中供养意愿的失能特困老年人集中供养率保持在60%以上</w:t>
      </w:r>
      <w:r>
        <w:rPr>
          <w:rFonts w:hint="eastAsia" w:cs="仿宋_GB2312"/>
          <w:color w:val="000000"/>
          <w:sz w:val="32"/>
          <w:szCs w:val="32"/>
          <w:highlight w:val="none"/>
          <w:lang w:val="en-US" w:eastAsia="zh-CN"/>
        </w:rPr>
        <w:t>，</w:t>
      </w:r>
      <w:r>
        <w:rPr>
          <w:rFonts w:hint="eastAsia" w:hAnsi="仿宋_GB2312" w:cs="仿宋_GB2312"/>
          <w:color w:val="000000"/>
          <w:sz w:val="32"/>
          <w:szCs w:val="32"/>
          <w:highlight w:val="none"/>
          <w:lang w:val="en-US" w:eastAsia="zh-CN"/>
        </w:rPr>
        <w:t>80周岁以上老年人能力与需求综合评估实现全覆盖</w:t>
      </w:r>
      <w:r>
        <w:rPr>
          <w:rFonts w:hint="eastAsia" w:cs="仿宋_GB2312"/>
          <w:color w:val="000000"/>
          <w:sz w:val="32"/>
          <w:szCs w:val="32"/>
          <w:highlight w:val="none"/>
          <w:lang w:val="en-US" w:eastAsia="zh-CN"/>
        </w:rPr>
        <w:t>，</w:t>
      </w:r>
      <w:r>
        <w:rPr>
          <w:rFonts w:hint="eastAsia" w:hAnsi="仿宋_GB2312" w:cs="仿宋_GB2312"/>
          <w:color w:val="000000"/>
          <w:sz w:val="32"/>
          <w:szCs w:val="32"/>
          <w:highlight w:val="none"/>
        </w:rPr>
        <w:t>特殊老年人月探访率达到100%</w:t>
      </w:r>
      <w:r>
        <w:rPr>
          <w:rFonts w:hint="eastAsia" w:cs="仿宋_GB2312"/>
          <w:color w:val="000000"/>
          <w:sz w:val="32"/>
          <w:szCs w:val="32"/>
          <w:highlight w:val="none"/>
          <w:lang w:eastAsia="zh-CN"/>
        </w:rPr>
        <w:t>。到</w:t>
      </w:r>
      <w:r>
        <w:rPr>
          <w:rFonts w:hint="eastAsia" w:cs="仿宋_GB2312"/>
          <w:color w:val="000000"/>
          <w:sz w:val="32"/>
          <w:szCs w:val="32"/>
          <w:highlight w:val="none"/>
          <w:lang w:val="en-US" w:eastAsia="zh-CN"/>
        </w:rPr>
        <w:t>2025年底，全市</w:t>
      </w:r>
      <w:r>
        <w:rPr>
          <w:rFonts w:hint="eastAsia" w:hAnsi="仿宋_GB2312" w:cs="仿宋_GB2312"/>
          <w:color w:val="000000"/>
          <w:sz w:val="32"/>
          <w:szCs w:val="32"/>
          <w:highlight w:val="none"/>
          <w:lang w:val="en-US" w:eastAsia="zh-CN"/>
        </w:rPr>
        <w:t>重点打造20家失智照护机构（含失智照护单元）和护理型示范机构</w:t>
      </w:r>
      <w:r>
        <w:rPr>
          <w:rFonts w:hint="eastAsia" w:cs="仿宋_GB2312"/>
          <w:color w:val="000000"/>
          <w:sz w:val="32"/>
          <w:szCs w:val="32"/>
          <w:highlight w:val="none"/>
          <w:lang w:val="en-US" w:eastAsia="zh-CN"/>
        </w:rPr>
        <w:t>。</w:t>
      </w:r>
      <w:r>
        <w:rPr>
          <w:rFonts w:hint="eastAsia" w:hAnsi="仿宋_GB2312" w:cs="仿宋_GB2312"/>
          <w:color w:val="000000"/>
          <w:sz w:val="32"/>
          <w:szCs w:val="32"/>
          <w:highlight w:val="none"/>
          <w:lang w:val="en-US" w:eastAsia="zh-CN"/>
        </w:rPr>
        <w:t>2030年底，养老机构护理型床位占</w:t>
      </w:r>
      <w:r>
        <w:rPr>
          <w:rFonts w:hint="eastAsia" w:ascii="仿宋_GB2312" w:hAnsi="仿宋_GB2312" w:eastAsia="仿宋_GB2312" w:cs="仿宋_GB2312"/>
          <w:sz w:val="32"/>
          <w:szCs w:val="32"/>
          <w:highlight w:val="none"/>
          <w:lang w:val="en-US" w:eastAsia="zh-CN"/>
        </w:rPr>
        <w:t>比达80%以上。（牵</w:t>
      </w:r>
      <w:r>
        <w:rPr>
          <w:rFonts w:hint="eastAsia" w:ascii="楷体_GB2312" w:hAnsi="楷体_GB2312" w:eastAsia="楷体_GB2312" w:cs="楷体_GB2312"/>
          <w:b w:val="0"/>
          <w:bCs w:val="0"/>
          <w:sz w:val="32"/>
          <w:szCs w:val="32"/>
          <w:highlight w:val="none"/>
          <w:lang w:val="en-US" w:eastAsia="zh-CN"/>
        </w:rPr>
        <w:t>头单位:市民政局）</w:t>
      </w:r>
    </w:p>
    <w:p>
      <w:pPr>
        <w:pStyle w:val="6"/>
        <w:keepNext w:val="0"/>
        <w:keepLines w:val="0"/>
        <w:pageBreakBefore w:val="0"/>
        <w:widowControl w:val="0"/>
        <w:numPr>
          <w:ilvl w:val="0"/>
          <w:numId w:val="0"/>
        </w:numPr>
        <w:kinsoku/>
        <w:wordWrap/>
        <w:overflowPunct/>
        <w:topLinePunct w:val="0"/>
        <w:autoSpaceDN/>
        <w:bidi w:val="0"/>
        <w:spacing w:line="560" w:lineRule="exact"/>
        <w:ind w:firstLine="642"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2.夯</w:t>
      </w:r>
      <w:r>
        <w:rPr>
          <w:rFonts w:hint="eastAsia" w:cs="仿宋_GB2312"/>
          <w:b/>
          <w:bCs/>
          <w:kern w:val="2"/>
          <w:sz w:val="32"/>
          <w:szCs w:val="32"/>
          <w:highlight w:val="none"/>
          <w:lang w:val="en-US" w:eastAsia="zh-CN" w:bidi="ar-SA"/>
        </w:rPr>
        <w:t>实</w:t>
      </w:r>
      <w:r>
        <w:rPr>
          <w:rFonts w:hint="eastAsia" w:ascii="仿宋_GB2312" w:hAnsi="仿宋_GB2312" w:eastAsia="仿宋_GB2312" w:cs="仿宋_GB2312"/>
          <w:b/>
          <w:bCs/>
          <w:kern w:val="2"/>
          <w:sz w:val="32"/>
          <w:szCs w:val="32"/>
          <w:highlight w:val="none"/>
          <w:lang w:val="en-US" w:eastAsia="zh-CN" w:bidi="ar-SA"/>
        </w:rPr>
        <w:t>公办养老机构</w:t>
      </w:r>
      <w:r>
        <w:rPr>
          <w:rFonts w:hint="eastAsia" w:cs="仿宋_GB2312"/>
          <w:b/>
          <w:bCs/>
          <w:kern w:val="2"/>
          <w:sz w:val="32"/>
          <w:szCs w:val="32"/>
          <w:highlight w:val="none"/>
          <w:lang w:val="en-US" w:eastAsia="zh-CN" w:bidi="ar-SA"/>
        </w:rPr>
        <w:t>作用</w:t>
      </w:r>
      <w:r>
        <w:rPr>
          <w:rFonts w:hint="eastAsia" w:ascii="仿宋_GB2312" w:hAnsi="仿宋_GB2312" w:eastAsia="仿宋_GB2312" w:cs="仿宋_GB2312"/>
          <w:b/>
          <w:bCs/>
          <w:kern w:val="2"/>
          <w:sz w:val="32"/>
          <w:szCs w:val="32"/>
          <w:highlight w:val="none"/>
          <w:lang w:val="en-US" w:eastAsia="zh-CN" w:bidi="ar-SA"/>
        </w:rPr>
        <w:t>。</w:t>
      </w:r>
      <w:r>
        <w:rPr>
          <w:rFonts w:hint="default" w:ascii="仿宋_GB2312" w:hAnsi="仿宋_GB2312" w:eastAsia="仿宋_GB2312" w:cs="仿宋_GB2312"/>
          <w:sz w:val="32"/>
          <w:szCs w:val="32"/>
          <w:highlight w:val="none"/>
          <w:lang w:val="en-US" w:eastAsia="zh-CN"/>
        </w:rPr>
        <w:t>公办养老机构应当在满足特困人员集中供养需求的前提下，重点为经济困难的失能老年人、计划生育特殊家庭老年人提供免费或者低收费托养服务。</w:t>
      </w:r>
      <w:r>
        <w:rPr>
          <w:rFonts w:hint="eastAsia" w:ascii="仿宋_GB2312" w:hAnsi="仿宋_GB2312" w:eastAsia="仿宋_GB2312" w:cs="仿宋_GB2312"/>
          <w:sz w:val="32"/>
          <w:szCs w:val="32"/>
          <w:highlight w:val="none"/>
          <w:lang w:val="en-US" w:eastAsia="zh-CN"/>
        </w:rPr>
        <w:t>公办养老机构</w:t>
      </w:r>
      <w:r>
        <w:rPr>
          <w:rFonts w:hint="eastAsia" w:cs="仿宋_GB2312"/>
          <w:sz w:val="32"/>
          <w:szCs w:val="32"/>
          <w:highlight w:val="none"/>
          <w:lang w:val="en-US" w:eastAsia="zh-CN"/>
        </w:rPr>
        <w:t>应建立</w:t>
      </w:r>
      <w:r>
        <w:rPr>
          <w:rFonts w:hint="eastAsia" w:ascii="仿宋_GB2312" w:hAnsi="仿宋_GB2312" w:eastAsia="仿宋_GB2312" w:cs="仿宋_GB2312"/>
          <w:sz w:val="32"/>
          <w:szCs w:val="32"/>
          <w:highlight w:val="none"/>
          <w:lang w:val="en-US" w:eastAsia="zh-CN"/>
        </w:rPr>
        <w:t>入住评估和轮候制度，优化配置公办养老机构床位资源，满足老年人养老服务需求。按照“宜公则公、宜民则民”原则</w:t>
      </w:r>
      <w:r>
        <w:rPr>
          <w:rFonts w:hint="eastAsia" w:cs="仿宋_GB2312"/>
          <w:sz w:val="32"/>
          <w:szCs w:val="32"/>
          <w:highlight w:val="none"/>
          <w:lang w:val="en-US" w:eastAsia="zh-CN"/>
        </w:rPr>
        <w:t>深入</w:t>
      </w:r>
      <w:r>
        <w:rPr>
          <w:rFonts w:hint="eastAsia" w:ascii="仿宋_GB2312" w:hAnsi="仿宋_GB2312" w:eastAsia="仿宋_GB2312" w:cs="仿宋_GB2312"/>
          <w:sz w:val="32"/>
          <w:szCs w:val="32"/>
          <w:highlight w:val="none"/>
          <w:lang w:val="en-US" w:eastAsia="zh-CN"/>
        </w:rPr>
        <w:t>推进公办养老机构改革，鼓励国有养老服务企业建设运营普惠型养老机构，</w:t>
      </w:r>
      <w:r>
        <w:rPr>
          <w:rFonts w:hint="eastAsia" w:cs="仿宋_GB2312"/>
          <w:sz w:val="32"/>
          <w:szCs w:val="32"/>
          <w:highlight w:val="none"/>
          <w:lang w:val="en-US" w:eastAsia="zh-CN"/>
        </w:rPr>
        <w:t>各区市应建成一处具有</w:t>
      </w:r>
      <w:r>
        <w:rPr>
          <w:rFonts w:hint="eastAsia" w:ascii="仿宋_GB2312" w:hAnsi="仿宋_GB2312" w:eastAsia="仿宋_GB2312" w:cs="仿宋_GB2312"/>
          <w:sz w:val="32"/>
          <w:szCs w:val="32"/>
          <w:highlight w:val="none"/>
          <w:lang w:val="en-US" w:eastAsia="zh-CN"/>
        </w:rPr>
        <w:t>示范引导作用</w:t>
      </w:r>
      <w:r>
        <w:rPr>
          <w:rFonts w:hint="eastAsia" w:cs="仿宋_GB2312"/>
          <w:sz w:val="32"/>
          <w:szCs w:val="32"/>
          <w:highlight w:val="none"/>
          <w:lang w:val="en-US" w:eastAsia="zh-CN"/>
        </w:rPr>
        <w:t>的普惠型公办养老机构</w:t>
      </w:r>
      <w:r>
        <w:rPr>
          <w:rFonts w:hint="eastAsia" w:ascii="仿宋_GB2312" w:hAnsi="仿宋_GB2312" w:eastAsia="仿宋_GB2312" w:cs="仿宋_GB2312"/>
          <w:sz w:val="32"/>
          <w:szCs w:val="32"/>
          <w:highlight w:val="none"/>
          <w:lang w:val="en-US" w:eastAsia="zh-CN"/>
        </w:rPr>
        <w:t>。</w:t>
      </w:r>
      <w:r>
        <w:rPr>
          <w:rFonts w:hint="eastAsia" w:ascii="楷体_GB2312" w:hAnsi="楷体_GB2312" w:eastAsia="楷体_GB2312" w:cs="楷体_GB2312"/>
          <w:b w:val="0"/>
          <w:bCs w:val="0"/>
          <w:sz w:val="32"/>
          <w:szCs w:val="32"/>
          <w:highlight w:val="none"/>
          <w:lang w:val="en-US" w:eastAsia="zh-CN"/>
        </w:rPr>
        <w:t>（牵头单位:市民政局）</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（二）提升居家社区养老服务供给能力</w:t>
      </w:r>
    </w:p>
    <w:p>
      <w:pPr>
        <w:pStyle w:val="6"/>
        <w:keepNext w:val="0"/>
        <w:keepLines w:val="0"/>
        <w:pageBreakBefore w:val="0"/>
        <w:widowControl w:val="0"/>
        <w:numPr>
          <w:ilvl w:val="0"/>
          <w:numId w:val="0"/>
        </w:numPr>
        <w:kinsoku/>
        <w:wordWrap/>
        <w:overflowPunct/>
        <w:topLinePunct w:val="0"/>
        <w:autoSpaceDN/>
        <w:bidi w:val="0"/>
        <w:spacing w:line="560" w:lineRule="exact"/>
        <w:ind w:firstLine="642" w:firstLineChars="200"/>
        <w:jc w:val="both"/>
        <w:textAlignment w:val="auto"/>
        <w:rPr>
          <w:rFonts w:hint="eastAsia" w:ascii="楷体_GB2312" w:hAnsi="楷体_GB2312" w:eastAsia="楷体_GB2312" w:cs="楷体_GB2312"/>
          <w:b w:val="0"/>
          <w:bCs w:val="0"/>
          <w:kern w:val="2"/>
          <w:sz w:val="32"/>
          <w:szCs w:val="32"/>
          <w:highlight w:val="none"/>
          <w:lang w:val="en-US" w:eastAsia="zh-CN" w:bidi="zh-CN"/>
        </w:rPr>
      </w:pPr>
      <w:r>
        <w:rPr>
          <w:rFonts w:hint="eastAsia" w:cs="仿宋_GB2312"/>
          <w:b/>
          <w:bCs/>
          <w:kern w:val="2"/>
          <w:sz w:val="32"/>
          <w:szCs w:val="32"/>
          <w:highlight w:val="none"/>
          <w:lang w:val="en-US" w:eastAsia="zh-CN" w:bidi="ar-SA"/>
        </w:rPr>
        <w:t>1.</w:t>
      </w:r>
      <w:r>
        <w:rPr>
          <w:rFonts w:hint="eastAsia" w:ascii="仿宋_GB2312" w:hAnsi="仿宋_GB2312" w:eastAsia="仿宋_GB2312" w:cs="仿宋_GB2312"/>
          <w:b/>
          <w:bCs/>
          <w:kern w:val="2"/>
          <w:sz w:val="32"/>
          <w:szCs w:val="32"/>
          <w:highlight w:val="none"/>
          <w:lang w:val="en-US" w:eastAsia="zh-CN" w:bidi="ar-SA"/>
        </w:rPr>
        <w:t>强化失能老年人服务保障。</w:t>
      </w:r>
      <w:r>
        <w:rPr>
          <w:rFonts w:hint="eastAsia" w:ascii="仿宋_GB2312" w:eastAsia="仿宋_GB2312"/>
          <w:sz w:val="32"/>
          <w:szCs w:val="32"/>
          <w:highlight w:val="none"/>
        </w:rPr>
        <w:t>坚持需求导向，科学制定分年度改造计划，分步推进实施</w:t>
      </w:r>
      <w:r>
        <w:rPr>
          <w:rFonts w:hint="eastAsia" w:ascii="仿宋_GB2312" w:hAnsi="仿宋_GB2312" w:eastAsia="仿宋_GB2312" w:cs="仿宋_GB2312"/>
          <w:kern w:val="2"/>
          <w:sz w:val="32"/>
          <w:szCs w:val="32"/>
          <w:highlight w:val="none"/>
          <w:lang w:val="en-US" w:eastAsia="zh-CN" w:bidi="zh-CN"/>
        </w:rPr>
        <w:t>特殊困难老年人家庭适老化改造工程</w:t>
      </w:r>
      <w:r>
        <w:rPr>
          <w:rFonts w:hint="eastAsia" w:cs="仿宋_GB2312"/>
          <w:kern w:val="2"/>
          <w:sz w:val="32"/>
          <w:szCs w:val="32"/>
          <w:highlight w:val="none"/>
          <w:lang w:val="en-US" w:eastAsia="zh-CN" w:bidi="zh-CN"/>
        </w:rPr>
        <w:t>，</w:t>
      </w:r>
      <w:r>
        <w:rPr>
          <w:rFonts w:hint="eastAsia" w:ascii="仿宋_GB2312" w:hAnsi="仿宋_GB2312" w:eastAsia="仿宋_GB2312" w:cs="仿宋_GB2312"/>
          <w:kern w:val="2"/>
          <w:sz w:val="32"/>
          <w:szCs w:val="32"/>
          <w:highlight w:val="none"/>
          <w:lang w:val="en-US" w:eastAsia="zh-CN" w:bidi="zh-CN"/>
        </w:rPr>
        <w:t>到2025年实施特殊困难老年人家庭适老化改造不少于8200户，并逐步扩大实施范围</w:t>
      </w:r>
      <w:r>
        <w:rPr>
          <w:rFonts w:hint="eastAsia" w:cs="仿宋_GB2312"/>
          <w:kern w:val="2"/>
          <w:sz w:val="32"/>
          <w:szCs w:val="32"/>
          <w:highlight w:val="none"/>
          <w:lang w:val="en-US" w:eastAsia="zh-CN" w:bidi="zh-CN"/>
        </w:rPr>
        <w:t>；</w:t>
      </w:r>
      <w:r>
        <w:rPr>
          <w:rFonts w:hint="eastAsia" w:ascii="仿宋_GB2312" w:hAnsi="仿宋_GB2312" w:eastAsia="仿宋_GB2312" w:cs="仿宋_GB2312"/>
          <w:kern w:val="2"/>
          <w:sz w:val="32"/>
          <w:szCs w:val="32"/>
          <w:highlight w:val="none"/>
          <w:lang w:val="en-US" w:eastAsia="zh-CN" w:bidi="zh-CN"/>
        </w:rPr>
        <w:t>到2030年实现老年人家庭适老化改造普惠供给。制定家庭养老床位建设管理办法，鼓励对达到建设标准和运营规模的家庭养老床位给予奖补</w:t>
      </w:r>
      <w:r>
        <w:rPr>
          <w:rFonts w:hint="eastAsia" w:cs="仿宋_GB2312"/>
          <w:kern w:val="2"/>
          <w:sz w:val="32"/>
          <w:szCs w:val="32"/>
          <w:highlight w:val="none"/>
          <w:lang w:val="en-US" w:eastAsia="zh-CN" w:bidi="zh-CN"/>
        </w:rPr>
        <w:t>，</w:t>
      </w:r>
      <w:r>
        <w:rPr>
          <w:rFonts w:hint="eastAsia" w:ascii="仿宋_GB2312" w:hAnsi="仿宋_GB2312" w:eastAsia="仿宋_GB2312" w:cs="仿宋_GB2312"/>
          <w:color w:val="auto"/>
          <w:kern w:val="2"/>
          <w:sz w:val="32"/>
          <w:szCs w:val="32"/>
          <w:highlight w:val="none"/>
          <w:lang w:val="en-US" w:eastAsia="zh-CN" w:bidi="zh-CN"/>
        </w:rPr>
        <w:t>到2030年底，</w:t>
      </w:r>
      <w:r>
        <w:rPr>
          <w:rFonts w:hint="eastAsia" w:ascii="仿宋_GB2312" w:hAnsi="仿宋_GB2312" w:eastAsia="仿宋_GB2312" w:cs="仿宋_GB2312"/>
          <w:sz w:val="32"/>
          <w:szCs w:val="32"/>
          <w:highlight w:val="none"/>
          <w:lang w:val="en-US" w:eastAsia="zh-CN"/>
        </w:rPr>
        <w:t>全市建成家庭养老床位不少于10000张。</w:t>
      </w:r>
      <w:r>
        <w:rPr>
          <w:rFonts w:hint="eastAsia" w:ascii="楷体_GB2312" w:hAnsi="楷体_GB2312" w:eastAsia="楷体_GB2312" w:cs="楷体_GB2312"/>
          <w:b w:val="0"/>
          <w:bCs w:val="0"/>
          <w:kern w:val="2"/>
          <w:sz w:val="32"/>
          <w:szCs w:val="32"/>
          <w:highlight w:val="none"/>
          <w:lang w:val="en-US" w:eastAsia="zh-CN" w:bidi="zh-CN"/>
        </w:rPr>
        <w:t>（牵头单位：市民政局，参与单位：市财政局、市卫生健康委、市医保局、市人力资源社会保障局、市残联）</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2.大力发展老年助餐服务。</w:t>
      </w:r>
      <w:r>
        <w:rPr>
          <w:rFonts w:hint="eastAsia" w:ascii="仿宋_GB2312" w:hAnsi="仿宋_GB2312" w:eastAsia="仿宋_GB2312" w:cs="仿宋_GB2312"/>
          <w:color w:val="auto"/>
          <w:sz w:val="32"/>
          <w:szCs w:val="32"/>
          <w:lang w:val="en-US" w:eastAsia="zh-CN"/>
        </w:rPr>
        <w:t>以老年人就餐需求为导向，</w:t>
      </w:r>
      <w:r>
        <w:rPr>
          <w:rFonts w:hint="eastAsia" w:ascii="仿宋_GB2312" w:hAnsi="仿宋_GB2312" w:eastAsia="仿宋_GB2312" w:cs="仿宋_GB2312"/>
          <w:color w:val="auto"/>
          <w:kern w:val="2"/>
          <w:sz w:val="32"/>
          <w:szCs w:val="32"/>
          <w:highlight w:val="none"/>
          <w:lang w:val="en-US" w:eastAsia="zh-CN" w:bidi="zh-CN"/>
        </w:rPr>
        <w:t>优先保障特殊困难</w:t>
      </w:r>
      <w:r>
        <w:rPr>
          <w:rFonts w:hint="eastAsia" w:ascii="仿宋_GB2312" w:hAnsi="仿宋_GB2312" w:eastAsia="仿宋_GB2312" w:cs="仿宋_GB2312"/>
          <w:color w:val="auto"/>
          <w:kern w:val="2"/>
          <w:sz w:val="32"/>
          <w:szCs w:val="32"/>
          <w:highlight w:val="none"/>
          <w:lang w:val="zh-CN" w:eastAsia="zh-CN" w:bidi="zh-CN"/>
        </w:rPr>
        <w:t>老年人</w:t>
      </w:r>
      <w:r>
        <w:rPr>
          <w:rFonts w:hint="eastAsia" w:ascii="仿宋_GB2312" w:hAnsi="仿宋_GB2312" w:eastAsia="仿宋_GB2312" w:cs="仿宋_GB2312"/>
          <w:color w:val="auto"/>
          <w:kern w:val="2"/>
          <w:sz w:val="32"/>
          <w:szCs w:val="32"/>
          <w:highlight w:val="none"/>
          <w:lang w:val="en-US" w:eastAsia="zh-CN" w:bidi="zh-CN"/>
        </w:rPr>
        <w:t>助餐需求，坚持公益性与市场化相结合，</w:t>
      </w:r>
      <w:r>
        <w:rPr>
          <w:rFonts w:hint="eastAsia" w:ascii="仿宋_GB2312" w:hAnsi="仿宋_GB2312" w:eastAsia="仿宋_GB2312" w:cs="仿宋_GB2312"/>
          <w:color w:val="auto"/>
          <w:kern w:val="2"/>
          <w:sz w:val="32"/>
          <w:szCs w:val="32"/>
          <w:highlight w:val="none"/>
          <w:lang w:val="en" w:eastAsia="zh-CN" w:bidi="zh-CN"/>
        </w:rPr>
        <w:t>坚持统筹现有资源和适度新建扩建相结合，坚持功能丰富完备和集约高效相结合，完善老年助餐服务设施配置，优化功能布局。</w:t>
      </w:r>
      <w:r>
        <w:rPr>
          <w:rFonts w:hint="eastAsia" w:ascii="仿宋_GB2312" w:hAnsi="仿宋_GB2312" w:eastAsia="仿宋_GB2312" w:cs="仿宋_GB2312"/>
          <w:color w:val="auto"/>
          <w:kern w:val="2"/>
          <w:sz w:val="32"/>
          <w:szCs w:val="32"/>
          <w:highlight w:val="none"/>
          <w:lang w:val="zh-CN" w:eastAsia="zh-CN" w:bidi="zh-CN"/>
        </w:rPr>
        <w:t>各区市应当结合</w:t>
      </w:r>
      <w:r>
        <w:rPr>
          <w:rFonts w:hint="eastAsia" w:ascii="仿宋_GB2312" w:hAnsi="仿宋_GB2312" w:eastAsia="仿宋_GB2312" w:cs="仿宋_GB2312"/>
          <w:color w:val="auto"/>
          <w:kern w:val="2"/>
          <w:sz w:val="32"/>
          <w:szCs w:val="32"/>
          <w:highlight w:val="none"/>
          <w:lang w:val="en" w:eastAsia="zh-CN" w:bidi="zh-CN"/>
        </w:rPr>
        <w:t>城市更新、老旧小区改造、嵌入式社区建设、</w:t>
      </w:r>
      <w:r>
        <w:rPr>
          <w:rFonts w:hint="eastAsia" w:ascii="仿宋_GB2312" w:hAnsi="仿宋_GB2312" w:eastAsia="仿宋_GB2312" w:cs="仿宋_GB2312"/>
          <w:color w:val="auto"/>
          <w:kern w:val="2"/>
          <w:sz w:val="32"/>
          <w:szCs w:val="32"/>
          <w:highlight w:val="none"/>
          <w:lang w:val="zh-CN" w:eastAsia="zh-CN" w:bidi="zh-CN"/>
        </w:rPr>
        <w:t>中央厨房建设、预制菜建设等项目</w:t>
      </w:r>
      <w:r>
        <w:rPr>
          <w:rFonts w:hint="eastAsia" w:ascii="仿宋_GB2312" w:hAnsi="仿宋_GB2312" w:eastAsia="仿宋_GB2312" w:cs="仿宋_GB2312"/>
          <w:color w:val="auto"/>
          <w:kern w:val="2"/>
          <w:sz w:val="32"/>
          <w:szCs w:val="32"/>
          <w:highlight w:val="none"/>
          <w:lang w:val="en" w:eastAsia="zh-CN" w:bidi="zh-CN"/>
        </w:rPr>
        <w:t>，</w:t>
      </w:r>
      <w:r>
        <w:rPr>
          <w:rFonts w:hint="eastAsia" w:ascii="仿宋_GB2312" w:hAnsi="仿宋_GB2312" w:eastAsia="仿宋_GB2312" w:cs="仿宋_GB2312"/>
          <w:color w:val="auto"/>
          <w:kern w:val="2"/>
          <w:sz w:val="32"/>
          <w:szCs w:val="32"/>
          <w:highlight w:val="none"/>
          <w:lang w:val="zh-CN" w:eastAsia="zh-CN" w:bidi="zh-CN"/>
        </w:rPr>
        <w:t>链接优质餐饮资源，因地制宜、量力而行推进老年助餐建设</w:t>
      </w:r>
      <w:r>
        <w:rPr>
          <w:rFonts w:hint="eastAsia" w:ascii="仿宋_GB2312" w:hAnsi="仿宋_GB2312" w:eastAsia="仿宋_GB2312" w:cs="仿宋_GB2312"/>
          <w:color w:val="auto"/>
          <w:kern w:val="2"/>
          <w:sz w:val="32"/>
          <w:szCs w:val="32"/>
          <w:highlight w:val="none"/>
          <w:lang w:val="en-US" w:eastAsia="zh-CN" w:bidi="zh-CN"/>
        </w:rPr>
        <w:t>，</w:t>
      </w:r>
      <w:r>
        <w:rPr>
          <w:rFonts w:hint="eastAsia" w:ascii="仿宋_GB2312" w:hAnsi="仿宋_GB2312" w:eastAsia="仿宋_GB2312" w:cs="仿宋_GB2312"/>
          <w:color w:val="auto"/>
          <w:kern w:val="2"/>
          <w:sz w:val="32"/>
          <w:szCs w:val="32"/>
          <w:highlight w:val="none"/>
          <w:lang w:val="zh-CN" w:eastAsia="zh-CN" w:bidi="zh-CN"/>
        </w:rPr>
        <w:t>争取条件成熟一个，集中力量建好一个，</w:t>
      </w:r>
      <w:r>
        <w:rPr>
          <w:rFonts w:hint="eastAsia" w:ascii="仿宋_GB2312" w:hAnsi="仿宋_GB2312" w:eastAsia="仿宋_GB2312" w:cs="仿宋_GB2312"/>
          <w:color w:val="auto"/>
          <w:kern w:val="2"/>
          <w:sz w:val="32"/>
          <w:szCs w:val="32"/>
          <w:highlight w:val="none"/>
          <w:lang w:val="en-US" w:eastAsia="zh-CN" w:bidi="zh-CN"/>
        </w:rPr>
        <w:t>逐步形成布局均衡、方便可及的城乡老年人助餐服务圈</w:t>
      </w:r>
      <w:r>
        <w:rPr>
          <w:rFonts w:hint="eastAsia" w:ascii="仿宋_GB2312" w:hAnsi="仿宋_GB2312" w:eastAsia="仿宋_GB2312" w:cs="仿宋_GB2312"/>
          <w:color w:val="auto"/>
          <w:kern w:val="2"/>
          <w:sz w:val="32"/>
          <w:szCs w:val="32"/>
          <w:highlight w:val="none"/>
          <w:lang w:val="zh-CN" w:eastAsia="zh-CN" w:bidi="zh-CN"/>
        </w:rPr>
        <w:t>。</w:t>
      </w:r>
      <w:r>
        <w:rPr>
          <w:rFonts w:hint="eastAsia" w:ascii="仿宋_GB2312" w:hAnsi="仿宋_GB2312" w:eastAsia="仿宋_GB2312" w:cs="仿宋_GB2312"/>
          <w:color w:val="auto"/>
          <w:kern w:val="2"/>
          <w:sz w:val="32"/>
          <w:szCs w:val="32"/>
          <w:highlight w:val="none"/>
          <w:lang w:val="en-US" w:eastAsia="zh-CN" w:bidi="zh-CN"/>
        </w:rPr>
        <w:t>到2025年底，基本构建以市民社区食堂、老年助餐点、农村老年餐桌、送餐入户为四种基础模式，其他有利于发展老年助餐的经营模式共同参与的“4+N”烟台市城乡老年人助餐服务体系。</w:t>
      </w:r>
      <w:r>
        <w:rPr>
          <w:rFonts w:hint="eastAsia" w:ascii="仿宋_GB2312" w:hAnsi="仿宋_GB2312" w:eastAsia="仿宋_GB2312" w:cs="仿宋_GB2312"/>
          <w:color w:val="auto"/>
          <w:kern w:val="2"/>
          <w:sz w:val="32"/>
          <w:szCs w:val="32"/>
          <w:highlight w:val="none"/>
          <w:lang w:val="zh-CN" w:eastAsia="zh-CN" w:bidi="zh-CN"/>
        </w:rPr>
        <w:t>到</w:t>
      </w:r>
      <w:r>
        <w:rPr>
          <w:rFonts w:hint="eastAsia" w:ascii="仿宋_GB2312" w:hAnsi="仿宋_GB2312" w:eastAsia="仿宋_GB2312" w:cs="仿宋_GB2312"/>
          <w:color w:val="auto"/>
          <w:kern w:val="2"/>
          <w:sz w:val="32"/>
          <w:szCs w:val="32"/>
          <w:highlight w:val="none"/>
          <w:lang w:val="en-US" w:eastAsia="zh-CN" w:bidi="zh-CN"/>
        </w:rPr>
        <w:t>2030年底，全市</w:t>
      </w:r>
      <w:r>
        <w:rPr>
          <w:rFonts w:hint="eastAsia" w:ascii="仿宋_GB2312" w:hAnsi="仿宋_GB2312" w:eastAsia="仿宋_GB2312" w:cs="仿宋_GB2312"/>
          <w:color w:val="auto"/>
          <w:kern w:val="2"/>
          <w:sz w:val="32"/>
          <w:szCs w:val="32"/>
          <w:highlight w:val="none"/>
          <w:lang w:val="zh-CN" w:eastAsia="zh-CN" w:bidi="zh-CN"/>
        </w:rPr>
        <w:t>打造100家</w:t>
      </w:r>
      <w:r>
        <w:rPr>
          <w:rFonts w:hint="eastAsia" w:ascii="仿宋" w:hAnsi="仿宋" w:eastAsia="仿宋" w:cs="仿宋"/>
          <w:bCs/>
          <w:color w:val="000000"/>
          <w:kern w:val="0"/>
          <w:sz w:val="32"/>
          <w:szCs w:val="32"/>
          <w:highlight w:val="none"/>
          <w:lang w:val="en" w:eastAsia="zh-CN" w:bidi="ar"/>
        </w:rPr>
        <w:t>特色鲜明、带动力强、示范效应突出的城乡老年助餐服务示范点</w:t>
      </w:r>
      <w:r>
        <w:rPr>
          <w:rFonts w:hint="eastAsia" w:ascii="仿宋" w:hAnsi="仿宋" w:eastAsia="仿宋" w:cs="仿宋"/>
          <w:bCs/>
          <w:color w:val="000000"/>
          <w:kern w:val="0"/>
          <w:sz w:val="32"/>
          <w:szCs w:val="32"/>
          <w:highlight w:val="none"/>
          <w:lang w:val="zh-CN" w:eastAsia="zh-CN" w:bidi="ar"/>
        </w:rPr>
        <w:t>，</w:t>
      </w:r>
      <w:r>
        <w:rPr>
          <w:rFonts w:hint="eastAsia" w:ascii="仿宋_GB2312" w:hAnsi="仿宋_GB2312" w:eastAsia="仿宋_GB2312" w:cs="仿宋_GB2312"/>
          <w:color w:val="auto"/>
          <w:kern w:val="2"/>
          <w:sz w:val="32"/>
          <w:szCs w:val="32"/>
          <w:highlight w:val="none"/>
          <w:lang w:val="zh-CN" w:eastAsia="zh-CN" w:bidi="zh-CN"/>
        </w:rPr>
        <w:t>让老年人看得见、吃得好、得实惠。</w:t>
      </w:r>
      <w:r>
        <w:rPr>
          <w:rFonts w:hint="eastAsia" w:ascii="楷体_GB2312" w:hAnsi="楷体_GB2312" w:eastAsia="楷体_GB2312" w:cs="楷体_GB2312"/>
          <w:b w:val="0"/>
          <w:bCs w:val="0"/>
          <w:sz w:val="32"/>
          <w:szCs w:val="32"/>
          <w:highlight w:val="none"/>
          <w:lang w:val="en-US" w:eastAsia="zh-CN"/>
        </w:rPr>
        <w:t>（牵头单位:市民政局,参与单位：市发展改革委、市财政局、市商务局、市市场监管局）</w:t>
      </w:r>
    </w:p>
    <w:p>
      <w:pPr>
        <w:pStyle w:val="6"/>
        <w:keepNext w:val="0"/>
        <w:keepLines w:val="0"/>
        <w:pageBreakBefore w:val="0"/>
        <w:widowControl w:val="0"/>
        <w:numPr>
          <w:ilvl w:val="0"/>
          <w:numId w:val="0"/>
        </w:numPr>
        <w:kinsoku/>
        <w:wordWrap/>
        <w:overflowPunct/>
        <w:topLinePunct w:val="0"/>
        <w:autoSpaceDN/>
        <w:bidi w:val="0"/>
        <w:spacing w:line="560" w:lineRule="exact"/>
        <w:ind w:firstLine="642" w:firstLineChars="200"/>
        <w:jc w:val="both"/>
        <w:textAlignment w:val="auto"/>
        <w:rPr>
          <w:rFonts w:hint="eastAsia" w:ascii="仿宋_GB2312" w:hAnsi="仿宋_GB2312" w:eastAsia="仿宋_GB2312" w:cs="仿宋_GB2312"/>
          <w:color w:val="auto"/>
          <w:kern w:val="2"/>
          <w:sz w:val="32"/>
          <w:szCs w:val="32"/>
          <w:highlight w:val="none"/>
          <w:lang w:val="zh-CN" w:eastAsia="zh-CN" w:bidi="zh-CN"/>
        </w:rPr>
      </w:pPr>
      <w:r>
        <w:rPr>
          <w:rFonts w:hint="eastAsia" w:cs="仿宋_GB2312"/>
          <w:b/>
          <w:bCs/>
          <w:kern w:val="2"/>
          <w:sz w:val="32"/>
          <w:szCs w:val="32"/>
          <w:highlight w:val="none"/>
          <w:lang w:val="en-US" w:eastAsia="zh-CN" w:bidi="ar-SA"/>
        </w:rPr>
        <w:t>3</w:t>
      </w:r>
      <w:r>
        <w:rPr>
          <w:rFonts w:hint="eastAsia" w:ascii="仿宋_GB2312" w:hAnsi="仿宋_GB2312" w:eastAsia="仿宋_GB2312" w:cs="仿宋_GB2312"/>
          <w:b/>
          <w:bCs/>
          <w:kern w:val="2"/>
          <w:sz w:val="32"/>
          <w:szCs w:val="32"/>
          <w:highlight w:val="none"/>
          <w:lang w:val="en-US" w:eastAsia="zh-CN" w:bidi="ar-SA"/>
        </w:rPr>
        <w:t>.</w:t>
      </w:r>
      <w:r>
        <w:rPr>
          <w:rFonts w:hint="eastAsia" w:cs="仿宋_GB2312"/>
          <w:b/>
          <w:bCs/>
          <w:kern w:val="2"/>
          <w:sz w:val="32"/>
          <w:szCs w:val="32"/>
          <w:highlight w:val="none"/>
          <w:lang w:val="en-US" w:eastAsia="zh-CN" w:bidi="ar-SA"/>
        </w:rPr>
        <w:t>发挥</w:t>
      </w:r>
      <w:r>
        <w:rPr>
          <w:rFonts w:hint="eastAsia" w:ascii="仿宋_GB2312" w:hAnsi="仿宋_GB2312" w:eastAsia="仿宋_GB2312" w:cs="仿宋_GB2312"/>
          <w:b/>
          <w:bCs/>
          <w:kern w:val="2"/>
          <w:sz w:val="32"/>
          <w:szCs w:val="32"/>
          <w:highlight w:val="none"/>
          <w:lang w:val="en-US" w:eastAsia="zh-CN" w:bidi="ar-SA"/>
        </w:rPr>
        <w:t>家庭养老主责。</w:t>
      </w:r>
      <w:r>
        <w:rPr>
          <w:rFonts w:hint="eastAsia" w:ascii="仿宋" w:hAnsi="仿宋" w:eastAsia="仿宋" w:cs="仿宋"/>
          <w:bCs/>
          <w:color w:val="000000"/>
          <w:kern w:val="0"/>
          <w:sz w:val="32"/>
          <w:szCs w:val="32"/>
          <w:highlight w:val="none"/>
          <w:lang w:bidi="ar"/>
        </w:rPr>
        <w:t>支持隔代照料、家庭互助等照护模式。巩固家庭养老的基础性作用，</w:t>
      </w:r>
      <w:r>
        <w:rPr>
          <w:rFonts w:hint="eastAsia" w:ascii="仿宋_GB2312" w:hAnsi="仿宋_GB2312" w:eastAsia="仿宋_GB2312" w:cs="仿宋_GB2312"/>
          <w:color w:val="auto"/>
          <w:kern w:val="2"/>
          <w:sz w:val="32"/>
          <w:szCs w:val="32"/>
          <w:highlight w:val="none"/>
          <w:lang w:val="zh-CN" w:eastAsia="zh-CN" w:bidi="zh-CN"/>
        </w:rPr>
        <w:t>将符合条件的失能老年人家庭成员照护培训纳入职业技能培训补贴范围，分期分批开展失能老年人家庭成员照护公益培训，到</w:t>
      </w:r>
      <w:r>
        <w:rPr>
          <w:rFonts w:hint="eastAsia" w:ascii="仿宋_GB2312" w:hAnsi="仿宋_GB2312" w:eastAsia="仿宋_GB2312" w:cs="仿宋_GB2312"/>
          <w:color w:val="auto"/>
          <w:kern w:val="2"/>
          <w:sz w:val="32"/>
          <w:szCs w:val="32"/>
          <w:highlight w:val="none"/>
          <w:lang w:val="en-US" w:eastAsia="zh-CN" w:bidi="zh-CN"/>
        </w:rPr>
        <w:t>2030</w:t>
      </w:r>
      <w:r>
        <w:rPr>
          <w:rFonts w:hint="eastAsia" w:ascii="仿宋_GB2312" w:hAnsi="仿宋_GB2312" w:eastAsia="仿宋_GB2312" w:cs="仿宋_GB2312"/>
          <w:color w:val="auto"/>
          <w:kern w:val="2"/>
          <w:sz w:val="32"/>
          <w:szCs w:val="32"/>
          <w:highlight w:val="none"/>
          <w:lang w:val="zh-CN" w:eastAsia="zh-CN" w:bidi="zh-CN"/>
        </w:rPr>
        <w:t>年底，实现有培训意愿的失能老年人家庭成员公益照护培训全覆盖。</w:t>
      </w:r>
      <w:r>
        <w:rPr>
          <w:rFonts w:hint="eastAsia" w:ascii="楷体_GB2312" w:hAnsi="楷体_GB2312" w:eastAsia="楷体_GB2312" w:cs="楷体_GB2312"/>
          <w:b w:val="0"/>
          <w:bCs w:val="0"/>
          <w:sz w:val="32"/>
          <w:szCs w:val="32"/>
          <w:highlight w:val="none"/>
          <w:lang w:val="en-US" w:eastAsia="zh-CN"/>
        </w:rPr>
        <w:t>（牵头单位:市民政局，参与单位：市财政局）</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2" w:firstLineChars="200"/>
        <w:textAlignment w:val="auto"/>
        <w:rPr>
          <w:rFonts w:hint="eastAsia" w:ascii="楷体_GB2312" w:hAnsi="楷体_GB2312" w:eastAsia="楷体_GB2312" w:cs="楷体_GB2312"/>
          <w:color w:val="auto"/>
          <w:kern w:val="2"/>
          <w:sz w:val="32"/>
          <w:szCs w:val="32"/>
          <w:highlight w:val="none"/>
          <w:lang w:val="zh-CN" w:eastAsia="zh-CN" w:bidi="zh-CN"/>
        </w:rPr>
      </w:pPr>
      <w:r>
        <w:rPr>
          <w:rFonts w:hint="eastAsia" w:ascii="仿宋_GB2312" w:hAnsi="仿宋_GB2312" w:eastAsia="仿宋_GB2312" w:cs="仿宋_GB2312"/>
          <w:b/>
          <w:bCs/>
          <w:sz w:val="32"/>
          <w:szCs w:val="32"/>
          <w:highlight w:val="none"/>
          <w:lang w:val="en-US" w:eastAsia="zh-CN"/>
        </w:rPr>
        <w:t>4.强化智慧化信息化支撑。</w:t>
      </w:r>
      <w:r>
        <w:rPr>
          <w:rFonts w:hint="eastAsia" w:ascii="仿宋_GB2312" w:hAnsi="仿宋_GB2312" w:eastAsia="仿宋_GB2312" w:cs="仿宋_GB2312"/>
          <w:sz w:val="32"/>
          <w:szCs w:val="32"/>
          <w:highlight w:val="none"/>
          <w:lang w:val="en-US" w:eastAsia="zh-CN"/>
        </w:rPr>
        <w:t>按照“市级统筹、县级实施，政府监管、企业服务”原则，</w:t>
      </w:r>
      <w:r>
        <w:rPr>
          <w:rFonts w:hint="eastAsia" w:ascii="仿宋_GB2312" w:hAnsi="仿宋_GB2312" w:eastAsia="仿宋_GB2312" w:cs="仿宋_GB2312"/>
          <w:b w:val="0"/>
          <w:bCs w:val="0"/>
          <w:sz w:val="32"/>
          <w:szCs w:val="32"/>
          <w:highlight w:val="none"/>
          <w:lang w:val="en-US" w:eastAsia="zh-CN"/>
        </w:rPr>
        <w:t>立足多元化普惠养老，推行</w:t>
      </w:r>
      <w:r>
        <w:rPr>
          <w:rFonts w:hint="eastAsia" w:ascii="仿宋_GB2312" w:hAnsi="仿宋_GB2312" w:eastAsia="仿宋_GB2312" w:cs="仿宋_GB2312"/>
          <w:b w:val="0"/>
          <w:bCs w:val="0"/>
          <w:color w:val="auto"/>
          <w:sz w:val="32"/>
          <w:szCs w:val="32"/>
          <w:highlight w:val="none"/>
          <w:lang w:val="en-US" w:eastAsia="zh-CN"/>
        </w:rPr>
        <w:t>实施电子津贴制度，</w:t>
      </w:r>
      <w:r>
        <w:rPr>
          <w:rFonts w:hint="eastAsia" w:ascii="仿宋_GB2312" w:hAnsi="仿宋_GB2312" w:eastAsia="仿宋_GB2312" w:cs="仿宋_GB2312"/>
          <w:b w:val="0"/>
          <w:bCs w:val="0"/>
          <w:sz w:val="32"/>
          <w:szCs w:val="32"/>
          <w:highlight w:val="none"/>
          <w:lang w:val="en-US" w:eastAsia="zh-CN"/>
        </w:rPr>
        <w:t>探索</w:t>
      </w:r>
      <w:r>
        <w:rPr>
          <w:rFonts w:hint="eastAsia" w:ascii="仿宋_GB2312" w:hAnsi="仿宋_GB2312" w:eastAsia="仿宋_GB2312" w:cs="仿宋_GB2312"/>
          <w:b w:val="0"/>
          <w:bCs w:val="0"/>
          <w:color w:val="auto"/>
          <w:sz w:val="32"/>
          <w:szCs w:val="32"/>
          <w:highlight w:val="none"/>
          <w:lang w:val="en-US" w:eastAsia="zh-CN"/>
        </w:rPr>
        <w:t>互联网+积分养老</w:t>
      </w:r>
      <w:r>
        <w:rPr>
          <w:rFonts w:hint="eastAsia" w:ascii="仿宋_GB2312" w:hAnsi="仿宋_GB2312" w:eastAsia="仿宋_GB2312" w:cs="仿宋_GB2312"/>
          <w:b w:val="0"/>
          <w:bCs w:val="0"/>
          <w:sz w:val="32"/>
          <w:szCs w:val="32"/>
          <w:highlight w:val="none"/>
          <w:lang w:val="en-US" w:eastAsia="zh-CN"/>
        </w:rPr>
        <w:t>模式，坚持多方参与、多元融合、包容开放的特点，</w:t>
      </w:r>
      <w:r>
        <w:rPr>
          <w:rFonts w:hint="eastAsia" w:ascii="仿宋_GB2312" w:eastAsia="仿宋_GB2312"/>
          <w:b w:val="0"/>
          <w:bCs w:val="0"/>
          <w:sz w:val="32"/>
          <w:szCs w:val="32"/>
          <w:highlight w:val="none"/>
          <w:u w:val="none"/>
          <w:lang w:val="en-US" w:eastAsia="zh-CN"/>
        </w:rPr>
        <w:t>建设全</w:t>
      </w:r>
      <w:r>
        <w:rPr>
          <w:rFonts w:hint="eastAsia" w:ascii="仿宋_GB2312" w:hAnsi="仿宋_GB2312" w:eastAsia="仿宋_GB2312" w:cs="仿宋_GB2312"/>
          <w:b w:val="0"/>
          <w:bCs w:val="0"/>
          <w:sz w:val="32"/>
          <w:szCs w:val="32"/>
          <w:highlight w:val="none"/>
          <w:lang w:val="en-US" w:eastAsia="zh-CN"/>
        </w:rPr>
        <w:t>市统一的智慧养老综合服务平台</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到2025年底，智慧养老综合服务平台</w:t>
      </w:r>
      <w:r>
        <w:rPr>
          <w:rFonts w:hint="eastAsia" w:ascii="仿宋_GB2312" w:hAnsi="仿宋_GB2312" w:eastAsia="仿宋_GB2312" w:cs="仿宋_GB2312"/>
          <w:sz w:val="32"/>
          <w:szCs w:val="32"/>
          <w:highlight w:val="none"/>
          <w:lang w:val="en-US" w:eastAsia="zh-CN"/>
        </w:rPr>
        <w:t>实现</w:t>
      </w:r>
      <w:r>
        <w:rPr>
          <w:rFonts w:hint="eastAsia" w:ascii="仿宋_GB2312" w:hAnsi="仿宋_GB2312" w:eastAsia="仿宋_GB2312" w:cs="仿宋_GB2312"/>
          <w:b w:val="0"/>
          <w:bCs w:val="0"/>
          <w:sz w:val="32"/>
          <w:szCs w:val="32"/>
          <w:highlight w:val="none"/>
          <w:lang w:val="en-US" w:eastAsia="zh-CN"/>
        </w:rPr>
        <w:t>各类养老信息资源</w:t>
      </w:r>
      <w:r>
        <w:rPr>
          <w:rFonts w:hint="eastAsia" w:ascii="仿宋_GB2312" w:hAnsi="仿宋_GB2312" w:eastAsia="仿宋_GB2312" w:cs="仿宋_GB2312"/>
          <w:sz w:val="32"/>
          <w:szCs w:val="32"/>
          <w:highlight w:val="none"/>
          <w:lang w:val="en-US" w:eastAsia="zh-CN"/>
        </w:rPr>
        <w:t>互联互通，满足综合监测、政策兑现、运营管理和供需对接等需求</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具备综合功能的养老服务网络体系基本建立</w:t>
      </w:r>
      <w:r>
        <w:rPr>
          <w:rFonts w:hint="eastAsia" w:ascii="仿宋_GB2312" w:hAnsi="仿宋_GB2312" w:eastAsia="仿宋_GB2312" w:cs="仿宋_GB2312"/>
          <w:b w:val="0"/>
          <w:bCs w:val="0"/>
          <w:color w:val="auto"/>
          <w:sz w:val="32"/>
          <w:szCs w:val="32"/>
          <w:highlight w:val="none"/>
          <w:lang w:val="en-US" w:eastAsia="zh-CN"/>
        </w:rPr>
        <w:t>。到2030年底，智慧养老综合服务平台实现多业态加入、全年龄段参与、全社</w:t>
      </w:r>
      <w:r>
        <w:rPr>
          <w:rFonts w:hint="eastAsia" w:ascii="仿宋_GB2312" w:hAnsi="仿宋_GB2312" w:eastAsia="仿宋_GB2312" w:cs="仿宋_GB2312"/>
          <w:b w:val="0"/>
          <w:bCs w:val="0"/>
          <w:sz w:val="32"/>
          <w:szCs w:val="32"/>
          <w:highlight w:val="none"/>
          <w:lang w:val="en-US" w:eastAsia="zh-CN"/>
        </w:rPr>
        <w:t>会知晓、可持续运营的商业化运作新模式。</w:t>
      </w:r>
      <w:r>
        <w:rPr>
          <w:rFonts w:hint="eastAsia" w:ascii="楷体_GB2312" w:hAnsi="楷体_GB2312" w:eastAsia="楷体_GB2312" w:cs="楷体_GB2312"/>
          <w:b w:val="0"/>
          <w:bCs w:val="0"/>
          <w:sz w:val="32"/>
          <w:szCs w:val="32"/>
          <w:highlight w:val="none"/>
          <w:lang w:val="en-US" w:eastAsia="zh-CN"/>
        </w:rPr>
        <w:t>（牵头单位：</w:t>
      </w:r>
      <w:r>
        <w:rPr>
          <w:rFonts w:hint="eastAsia" w:ascii="楷体_GB2312" w:hAnsi="仿宋_GB2312" w:eastAsia="楷体_GB2312" w:cs="仿宋_GB2312"/>
          <w:color w:val="000000"/>
          <w:kern w:val="2"/>
          <w:sz w:val="32"/>
          <w:szCs w:val="32"/>
          <w:highlight w:val="none"/>
        </w:rPr>
        <w:t>市发</w:t>
      </w:r>
      <w:r>
        <w:rPr>
          <w:rFonts w:hint="eastAsia" w:ascii="楷体_GB2312" w:hAnsi="仿宋_GB2312" w:eastAsia="楷体_GB2312" w:cs="仿宋_GB2312"/>
          <w:color w:val="000000"/>
          <w:kern w:val="2"/>
          <w:sz w:val="32"/>
          <w:szCs w:val="32"/>
          <w:highlight w:val="none"/>
          <w:lang w:eastAsia="zh-CN"/>
        </w:rPr>
        <w:t>发展改革</w:t>
      </w:r>
      <w:r>
        <w:rPr>
          <w:rFonts w:hint="eastAsia" w:ascii="楷体_GB2312" w:hAnsi="楷体_GB2312" w:eastAsia="楷体_GB2312" w:cs="楷体_GB2312"/>
          <w:b w:val="0"/>
          <w:bCs w:val="0"/>
          <w:sz w:val="32"/>
          <w:szCs w:val="32"/>
          <w:highlight w:val="none"/>
          <w:lang w:val="en-US" w:eastAsia="zh-CN"/>
        </w:rPr>
        <w:t>、市工信局、市大数据局、市民政局，参与单位：市卫生健康委、市医保局、市人力资源社会保障局、市公安局）</w:t>
      </w:r>
    </w:p>
    <w:p>
      <w:pPr>
        <w:pStyle w:val="6"/>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b w:val="0"/>
          <w:bCs w:val="0"/>
          <w:kern w:val="0"/>
          <w:sz w:val="32"/>
          <w:szCs w:val="32"/>
          <w:highlight w:val="none"/>
          <w:lang w:val="en-US" w:eastAsia="zh-CN" w:bidi="ar"/>
        </w:rPr>
      </w:pPr>
      <w:r>
        <w:rPr>
          <w:rFonts w:hint="eastAsia" w:cs="仿宋_GB2312"/>
          <w:b/>
          <w:bCs/>
          <w:kern w:val="2"/>
          <w:sz w:val="32"/>
          <w:szCs w:val="32"/>
          <w:highlight w:val="none"/>
          <w:lang w:val="en-US" w:eastAsia="zh-CN" w:bidi="ar-SA"/>
        </w:rPr>
        <w:t>5.推进示范性友好型社区建设。</w:t>
      </w:r>
      <w:r>
        <w:rPr>
          <w:rFonts w:hint="eastAsia" w:ascii="仿宋_GB2312" w:hAnsi="仿宋_GB2312" w:eastAsia="仿宋_GB2312" w:cs="仿宋_GB2312"/>
          <w:b w:val="0"/>
          <w:bCs w:val="0"/>
          <w:kern w:val="0"/>
          <w:sz w:val="32"/>
          <w:szCs w:val="32"/>
          <w:highlight w:val="none"/>
          <w:lang w:val="en-US" w:eastAsia="zh-CN" w:bidi="ar"/>
        </w:rPr>
        <w:t>开展全国</w:t>
      </w:r>
      <w:r>
        <w:rPr>
          <w:rFonts w:hint="eastAsia" w:cs="仿宋_GB2312"/>
          <w:b w:val="0"/>
          <w:bCs w:val="0"/>
          <w:kern w:val="0"/>
          <w:sz w:val="32"/>
          <w:szCs w:val="32"/>
          <w:highlight w:val="none"/>
          <w:lang w:val="en-US" w:eastAsia="zh-CN" w:bidi="ar"/>
        </w:rPr>
        <w:t>示范型老年友好型社区创建工作，更好地满足老年人在居住环境、日常出行、健康服务、养老服务、社会参与等方面的需要。</w:t>
      </w:r>
      <w:r>
        <w:rPr>
          <w:rFonts w:hint="eastAsia" w:ascii="仿宋_GB2312" w:hAnsi="仿宋_GB2312" w:eastAsia="仿宋_GB2312" w:cs="仿宋_GB2312"/>
          <w:kern w:val="2"/>
          <w:sz w:val="32"/>
          <w:szCs w:val="32"/>
          <w:highlight w:val="none"/>
          <w:lang w:val="en-US" w:eastAsia="zh-CN" w:bidi="ar-SA"/>
        </w:rPr>
        <w:t>到2030年底，全市建成40处全国示范型老年友好型社区。</w:t>
      </w:r>
      <w:r>
        <w:rPr>
          <w:rFonts w:hint="eastAsia" w:ascii="楷体_GB2312" w:hAnsi="楷体_GB2312" w:eastAsia="楷体_GB2312" w:cs="楷体_GB2312"/>
          <w:b w:val="0"/>
          <w:bCs w:val="0"/>
          <w:sz w:val="32"/>
          <w:szCs w:val="32"/>
          <w:highlight w:val="none"/>
          <w:lang w:val="en-US" w:eastAsia="zh-CN"/>
        </w:rPr>
        <w:t>（牵头单位:市民政局）</w:t>
      </w:r>
    </w:p>
    <w:p>
      <w:pPr>
        <w:pStyle w:val="6"/>
        <w:keepNext w:val="0"/>
        <w:keepLines w:val="0"/>
        <w:pageBreakBefore w:val="0"/>
        <w:widowControl w:val="0"/>
        <w:numPr>
          <w:ilvl w:val="0"/>
          <w:numId w:val="0"/>
        </w:numPr>
        <w:kinsoku/>
        <w:wordWrap/>
        <w:overflowPunct/>
        <w:topLinePunct w:val="0"/>
        <w:autoSpaceDN/>
        <w:bidi w:val="0"/>
        <w:spacing w:line="56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（三）提升医康养融合发展能力</w:t>
      </w:r>
    </w:p>
    <w:p>
      <w:pPr>
        <w:pStyle w:val="6"/>
        <w:keepNext w:val="0"/>
        <w:keepLines w:val="0"/>
        <w:pageBreakBefore w:val="0"/>
        <w:widowControl w:val="0"/>
        <w:numPr>
          <w:ilvl w:val="0"/>
          <w:numId w:val="0"/>
        </w:numPr>
        <w:kinsoku/>
        <w:wordWrap/>
        <w:overflowPunct/>
        <w:topLinePunct w:val="0"/>
        <w:autoSpaceDN/>
        <w:bidi w:val="0"/>
        <w:spacing w:line="560" w:lineRule="exact"/>
        <w:ind w:firstLine="642" w:firstLineChars="200"/>
        <w:jc w:val="both"/>
        <w:textAlignment w:val="auto"/>
        <w:rPr>
          <w:rFonts w:hint="eastAsia"/>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1.深化医养结合机制。</w:t>
      </w:r>
      <w:r>
        <w:rPr>
          <w:rFonts w:hint="eastAsia" w:ascii="仿宋_GB2312" w:hAnsi="仿宋_GB2312" w:eastAsia="仿宋_GB2312" w:cs="仿宋_GB2312"/>
          <w:sz w:val="32"/>
          <w:szCs w:val="32"/>
          <w:highlight w:val="none"/>
          <w:lang w:val="en-US" w:eastAsia="zh-CN"/>
        </w:rPr>
        <w:t>推动基层养老服务设施与基层医疗卫生设施同步规划、就近设置，医养合作签约率达100%。养老机构申请内部设置诊所、卫生所（室）、医务室、护理站的，取消行政审批，实行备案管理。</w:t>
      </w:r>
      <w:r>
        <w:rPr>
          <w:rFonts w:hint="eastAsia" w:ascii="仿宋" w:hAnsi="仿宋" w:eastAsia="仿宋"/>
          <w:color w:val="000000"/>
          <w:sz w:val="32"/>
          <w:szCs w:val="32"/>
          <w:highlight w:val="none"/>
        </w:rPr>
        <w:t>积极</w:t>
      </w:r>
      <w:r>
        <w:rPr>
          <w:rFonts w:hint="eastAsia" w:ascii="仿宋_GB2312" w:hAnsi="仿宋_GB2312" w:eastAsia="仿宋_GB2312" w:cs="仿宋_GB2312"/>
          <w:sz w:val="32"/>
          <w:szCs w:val="32"/>
          <w:highlight w:val="none"/>
          <w:lang w:val="en-US" w:eastAsia="zh-CN"/>
        </w:rPr>
        <w:t>推动养老服务信息和基层医疗卫生服务信息数据对接，充分利用信息技术，建立老年人健康档案，精准提供线上和线下的医疗康复保健服务。</w:t>
      </w:r>
      <w:r>
        <w:rPr>
          <w:rFonts w:hint="eastAsia" w:ascii="仿宋_GB2312" w:hAnsi="仿宋_GB2312" w:eastAsia="仿宋_GB2312" w:cs="仿宋_GB2312"/>
          <w:sz w:val="32"/>
          <w:szCs w:val="32"/>
          <w:highlight w:val="none"/>
        </w:rPr>
        <w:t>将符合条件的医养结合机构中的医疗机构</w:t>
      </w:r>
      <w:r>
        <w:rPr>
          <w:rFonts w:hint="eastAsia" w:ascii="仿宋_GB2312" w:hAnsi="仿宋_GB2312" w:eastAsia="仿宋_GB2312" w:cs="仿宋_GB2312"/>
          <w:sz w:val="32"/>
          <w:szCs w:val="32"/>
          <w:highlight w:val="none"/>
          <w:lang w:eastAsia="zh-CN"/>
        </w:rPr>
        <w:t>优先</w:t>
      </w:r>
      <w:r>
        <w:rPr>
          <w:rFonts w:hint="eastAsia" w:ascii="仿宋_GB2312" w:hAnsi="仿宋_GB2312" w:eastAsia="仿宋_GB2312" w:cs="仿宋_GB2312"/>
          <w:sz w:val="32"/>
          <w:szCs w:val="32"/>
          <w:highlight w:val="none"/>
        </w:rPr>
        <w:t>纳入基本医疗保险定点范围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到2030年底前，全市60岁及以上老年人城乡社区规范化健康管理服务率达65%以上，全市二级及以上综合性医院设立老年医学科比例达65%以上。</w:t>
      </w:r>
      <w:r>
        <w:rPr>
          <w:rFonts w:hint="eastAsia" w:ascii="楷体_GB2312" w:hAnsi="楷体_GB2312" w:eastAsia="楷体_GB2312" w:cs="楷体_GB2312"/>
          <w:color w:val="000000"/>
          <w:sz w:val="32"/>
          <w:szCs w:val="32"/>
          <w:highlight w:val="none"/>
          <w:lang w:val="en-US" w:eastAsia="zh-CN"/>
        </w:rPr>
        <w:t>（牵头单位：</w:t>
      </w:r>
      <w:r>
        <w:rPr>
          <w:rFonts w:hint="eastAsia" w:ascii="楷体_GB2312" w:hAnsi="楷体_GB2312" w:eastAsia="楷体_GB2312" w:cs="楷体_GB2312"/>
          <w:b w:val="0"/>
          <w:bCs w:val="0"/>
          <w:kern w:val="2"/>
          <w:sz w:val="32"/>
          <w:szCs w:val="32"/>
          <w:highlight w:val="none"/>
          <w:lang w:val="en-US" w:eastAsia="zh-CN" w:bidi="zh-CN"/>
        </w:rPr>
        <w:t>市卫生健康委</w:t>
      </w:r>
      <w:r>
        <w:rPr>
          <w:rFonts w:hint="eastAsia" w:ascii="楷体_GB2312" w:hAnsi="楷体_GB2312" w:eastAsia="楷体_GB2312" w:cs="楷体_GB2312"/>
          <w:color w:val="000000"/>
          <w:sz w:val="32"/>
          <w:szCs w:val="32"/>
          <w:highlight w:val="none"/>
          <w:lang w:val="en-US" w:eastAsia="zh-CN"/>
        </w:rPr>
        <w:t>、市民政局，参与单位：市行政审批局、市医保局）</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楷体_GB2312" w:hAnsi="楷体_GB2312" w:eastAsia="楷体_GB2312" w:cs="楷体_GB2312"/>
          <w:b w:val="0"/>
          <w:bCs w:val="0"/>
          <w:sz w:val="32"/>
          <w:szCs w:val="32"/>
          <w:highlight w:val="none"/>
          <w:lang w:val="en-US" w:eastAsia="zh-CN"/>
        </w:rPr>
      </w:pPr>
      <w:r>
        <w:rPr>
          <w:rFonts w:hint="eastAsia" w:cs="仿宋_GB2312"/>
          <w:b/>
          <w:bCs/>
          <w:kern w:val="2"/>
          <w:sz w:val="32"/>
          <w:szCs w:val="32"/>
          <w:highlight w:val="none"/>
          <w:lang w:val="en-US" w:eastAsia="zh-CN" w:bidi="ar-SA"/>
        </w:rPr>
        <w:t>2.</w:t>
      </w:r>
      <w:r>
        <w:rPr>
          <w:rFonts w:hint="eastAsia" w:ascii="仿宋_GB2312" w:hAnsi="仿宋_GB2312" w:eastAsia="仿宋_GB2312" w:cs="仿宋_GB2312"/>
          <w:b/>
          <w:bCs/>
          <w:kern w:val="2"/>
          <w:sz w:val="32"/>
          <w:szCs w:val="32"/>
          <w:highlight w:val="none"/>
          <w:lang w:val="en-US" w:eastAsia="zh-CN" w:bidi="ar-SA"/>
        </w:rPr>
        <w:t>增强社区医康养服务能力。</w:t>
      </w:r>
      <w:r>
        <w:rPr>
          <w:rFonts w:hint="eastAsia" w:ascii="仿宋_GB2312" w:hAnsi="仿宋_GB2312" w:eastAsia="仿宋_GB2312" w:cs="仿宋_GB2312"/>
          <w:sz w:val="32"/>
          <w:szCs w:val="32"/>
          <w:highlight w:val="none"/>
          <w:lang w:val="en-US" w:eastAsia="zh-CN"/>
        </w:rPr>
        <w:t>统筹民政、卫生健康、医保等部门资源，</w:t>
      </w:r>
      <w:r>
        <w:rPr>
          <w:rFonts w:hint="eastAsia" w:ascii="仿宋_GB2312" w:hAnsi="仿宋_GB2312" w:eastAsia="仿宋_GB2312" w:cs="仿宋_GB2312"/>
          <w:color w:val="000000"/>
          <w:sz w:val="32"/>
          <w:szCs w:val="32"/>
          <w:highlight w:val="none"/>
          <w:lang w:eastAsia="zh-CN"/>
        </w:rPr>
        <w:t>为居家失能、慢性病、高龄、残疾等行动不便或确有困难的老年人提供居家医疗服务</w:t>
      </w:r>
      <w:r>
        <w:rPr>
          <w:rFonts w:hint="eastAsia"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重点支持发展养老床位、养老机构床位、家庭病床、医疗病床和安宁疗护病床建设，争取全省第一批“五床联动”试点城市。支持有条件的社区养老服务机构</w:t>
      </w:r>
      <w:r>
        <w:rPr>
          <w:rFonts w:hint="eastAsia" w:ascii="仿宋_GB2312" w:hAnsi="仿宋_GB2312" w:eastAsia="仿宋_GB2312" w:cs="仿宋_GB2312"/>
          <w:color w:val="000000"/>
          <w:sz w:val="32"/>
          <w:szCs w:val="32"/>
          <w:highlight w:val="none"/>
          <w:lang w:eastAsia="zh-CN"/>
        </w:rPr>
        <w:t>与开展远程医疗服务的医疗卫生机构合作，为入住老年人提供远程会诊等服务</w:t>
      </w:r>
      <w:r>
        <w:rPr>
          <w:rFonts w:hint="eastAsia" w:cs="仿宋_GB2312"/>
          <w:color w:val="000000"/>
          <w:sz w:val="32"/>
          <w:szCs w:val="32"/>
          <w:highlight w:val="none"/>
          <w:lang w:eastAsia="zh-CN"/>
        </w:rPr>
        <w:t>。</w:t>
      </w:r>
      <w:r>
        <w:rPr>
          <w:rFonts w:hint="eastAsia" w:ascii="仿宋_GB2312" w:hAnsi="仿宋_GB2312" w:eastAsia="仿宋_GB2312" w:cs="仿宋_GB2312"/>
          <w:kern w:val="2"/>
          <w:sz w:val="32"/>
          <w:szCs w:val="32"/>
          <w:highlight w:val="none"/>
          <w:lang w:val="en-US" w:eastAsia="zh-CN" w:bidi="ar-SA"/>
        </w:rPr>
        <w:t>引导养老机构延伸服务范围,丰富康复护理、居家上门等服务功能</w:t>
      </w:r>
      <w:r>
        <w:rPr>
          <w:rFonts w:hint="eastAsia" w:cs="仿宋_GB2312"/>
          <w:kern w:val="2"/>
          <w:sz w:val="32"/>
          <w:szCs w:val="32"/>
          <w:highlight w:val="none"/>
          <w:lang w:val="en-US" w:eastAsia="zh-CN" w:bidi="ar-SA"/>
        </w:rPr>
        <w:t>，</w:t>
      </w:r>
      <w:r>
        <w:rPr>
          <w:rFonts w:hint="eastAsia" w:ascii="仿宋_GB2312" w:hAnsi="仿宋_GB2312" w:eastAsia="仿宋_GB2312" w:cs="仿宋_GB2312"/>
          <w:sz w:val="32"/>
          <w:szCs w:val="32"/>
          <w:highlight w:val="none"/>
          <w:lang w:val="en-US" w:eastAsia="zh-CN"/>
        </w:rPr>
        <w:t>全市60%以上的养老机构</w:t>
      </w:r>
      <w:r>
        <w:rPr>
          <w:rFonts w:hint="eastAsia" w:cs="仿宋_GB2312"/>
          <w:sz w:val="32"/>
          <w:szCs w:val="32"/>
          <w:highlight w:val="none"/>
          <w:lang w:val="en-US" w:eastAsia="zh-CN"/>
        </w:rPr>
        <w:t>应</w:t>
      </w:r>
      <w:r>
        <w:rPr>
          <w:rFonts w:hint="eastAsia" w:ascii="仿宋_GB2312" w:hAnsi="仿宋_GB2312" w:eastAsia="仿宋_GB2312" w:cs="仿宋_GB2312"/>
          <w:sz w:val="32"/>
          <w:szCs w:val="32"/>
          <w:highlight w:val="none"/>
          <w:lang w:val="en-US" w:eastAsia="zh-CN"/>
        </w:rPr>
        <w:t>开展居家上门服务。</w:t>
      </w:r>
      <w:r>
        <w:rPr>
          <w:rFonts w:hint="eastAsia" w:ascii="楷体_GB2312" w:hAnsi="楷体_GB2312" w:eastAsia="楷体_GB2312" w:cs="楷体_GB2312"/>
          <w:b w:val="0"/>
          <w:bCs w:val="0"/>
          <w:sz w:val="32"/>
          <w:szCs w:val="32"/>
          <w:highlight w:val="none"/>
          <w:lang w:val="en-US" w:eastAsia="zh-CN"/>
        </w:rPr>
        <w:t>（牵头单位：市卫健委，参与单位：市民政局、市残联）</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val="0"/>
          <w:bCs w:val="0"/>
          <w:kern w:val="2"/>
          <w:sz w:val="32"/>
          <w:szCs w:val="32"/>
          <w:highlight w:val="none"/>
          <w:lang w:val="en-US" w:eastAsia="zh-CN" w:bidi="zh-CN"/>
        </w:rPr>
      </w:pPr>
      <w:r>
        <w:rPr>
          <w:rFonts w:hint="eastAsia" w:hAnsi="仿宋" w:cs="仿宋_GB2312"/>
          <w:b/>
          <w:bCs/>
          <w:color w:val="auto"/>
          <w:sz w:val="32"/>
          <w:szCs w:val="32"/>
          <w:highlight w:val="none"/>
          <w:lang w:val="en-US" w:eastAsia="zh-CN"/>
        </w:rPr>
        <w:t>3.</w:t>
      </w:r>
      <w:r>
        <w:rPr>
          <w:rFonts w:hint="eastAsia" w:ascii="仿宋_GB2312" w:hAnsi="仿宋" w:eastAsia="仿宋_GB2312" w:cs="仿宋_GB2312"/>
          <w:b/>
          <w:bCs/>
          <w:color w:val="auto"/>
          <w:sz w:val="32"/>
          <w:szCs w:val="32"/>
          <w:highlight w:val="none"/>
        </w:rPr>
        <w:t>优化康复服务</w:t>
      </w:r>
      <w:r>
        <w:rPr>
          <w:rFonts w:hint="eastAsia" w:ascii="仿宋_GB2312" w:hAnsi="仿宋" w:eastAsia="仿宋_GB2312" w:cs="仿宋_GB2312"/>
          <w:b/>
          <w:bCs/>
          <w:color w:val="auto"/>
          <w:sz w:val="32"/>
          <w:szCs w:val="32"/>
          <w:highlight w:val="none"/>
          <w:lang w:eastAsia="zh-CN"/>
        </w:rPr>
        <w:t>项目</w:t>
      </w:r>
      <w:r>
        <w:rPr>
          <w:rFonts w:hint="eastAsia" w:ascii="仿宋_GB2312" w:hAnsi="仿宋" w:eastAsia="仿宋_GB2312" w:cs="仿宋_GB2312"/>
          <w:b/>
          <w:bCs/>
          <w:color w:val="auto"/>
          <w:sz w:val="32"/>
          <w:szCs w:val="32"/>
          <w:highlight w:val="none"/>
        </w:rPr>
        <w:t>。</w:t>
      </w:r>
      <w:r>
        <w:rPr>
          <w:rFonts w:hint="eastAsia" w:ascii="仿宋_GB2312" w:hAnsi="仿宋" w:eastAsia="仿宋_GB2312" w:cs="仿宋_GB2312"/>
          <w:color w:val="auto"/>
          <w:sz w:val="32"/>
          <w:szCs w:val="32"/>
          <w:highlight w:val="none"/>
        </w:rPr>
        <w:t>结合康复护理工作实际，推广康复训练、康复服务、技能培训、健康管理等服务项目，探索适合服务对象实际需求的康复服务项目体系，提升康复服务能力。坚持中西医并重，充分发挥中医药在预防、治疗、康复、护理上的独特功效和作用，加强康复、护理服务等人员培训。</w:t>
      </w:r>
      <w:r>
        <w:rPr>
          <w:rFonts w:hint="eastAsia" w:ascii="楷体_GB2312" w:hAnsi="楷体_GB2312" w:eastAsia="楷体_GB2312" w:cs="楷体_GB2312"/>
          <w:b w:val="0"/>
          <w:bCs w:val="0"/>
          <w:kern w:val="2"/>
          <w:sz w:val="32"/>
          <w:szCs w:val="32"/>
          <w:highlight w:val="none"/>
          <w:lang w:val="en-US" w:eastAsia="zh-CN" w:bidi="zh-CN"/>
        </w:rPr>
        <w:t>（牵头单位：市卫生健康委，参与单位：市医保局、市民政局）</w:t>
      </w:r>
    </w:p>
    <w:p>
      <w:pPr>
        <w:keepNext w:val="0"/>
        <w:keepLines w:val="0"/>
        <w:pageBreakBefore w:val="0"/>
        <w:widowControl w:val="0"/>
        <w:kinsoku/>
        <w:wordWrap/>
        <w:overflowPunct/>
        <w:topLinePunct w:val="0"/>
        <w:autoSpaceDN/>
        <w:bidi w:val="0"/>
        <w:spacing w:line="560" w:lineRule="exact"/>
        <w:ind w:firstLine="642" w:firstLineChars="200"/>
        <w:textAlignment w:val="auto"/>
        <w:rPr>
          <w:rFonts w:hint="eastAsia" w:ascii="楷体_GB2312" w:hAnsi="楷体_GB2312" w:eastAsia="楷体_GB2312" w:cs="楷体_GB2312"/>
          <w:b w:val="0"/>
          <w:bCs w:val="0"/>
          <w:kern w:val="2"/>
          <w:sz w:val="32"/>
          <w:szCs w:val="32"/>
          <w:highlight w:val="none"/>
          <w:lang w:val="en-US" w:eastAsia="zh-CN" w:bidi="zh-CN"/>
        </w:rPr>
      </w:pPr>
      <w:r>
        <w:rPr>
          <w:rFonts w:hint="eastAsia" w:ascii="仿宋_GB2312" w:hAnsi="仿宋_GB2312" w:eastAsia="仿宋_GB2312" w:cs="仿宋_GB2312"/>
          <w:b/>
          <w:bCs/>
          <w:kern w:val="2"/>
          <w:sz w:val="32"/>
          <w:szCs w:val="32"/>
          <w:highlight w:val="none"/>
          <w:lang w:val="en-US" w:eastAsia="zh-CN" w:bidi="ar-SA"/>
        </w:rPr>
        <w:t>4.推动长期护理保险制度建设。</w:t>
      </w:r>
      <w:r>
        <w:rPr>
          <w:rFonts w:hint="eastAsia" w:ascii="仿宋_GB2312" w:hAnsi="仿宋" w:eastAsia="仿宋_GB2312" w:cs="仿宋_GB2312"/>
          <w:color w:val="auto"/>
          <w:kern w:val="2"/>
          <w:sz w:val="32"/>
          <w:szCs w:val="32"/>
          <w:highlight w:val="none"/>
          <w:lang w:val="en-US" w:eastAsia="zh-CN" w:bidi="zh-CN"/>
        </w:rPr>
        <w:t>全面实施职工长期护理保险制度，并逐步将覆盖范围扩大到城乡居民，到2025年底，实现城乡居民长期护理保险全覆盖。符合条件的养老服务机构、医养结合机构以及具备医养结合条件的社区养老服务机构可申请纳入长期护理保险定点范围。探索将康复辅助器具购买租赁、失智老年人照护服务等纳入长期护理保险保障范围。做好与资助困难失能老年人入住养老机构、为困难失能老年人购买居家养老服务、家庭养老床位奖补等政策衔接。</w:t>
      </w:r>
      <w:r>
        <w:rPr>
          <w:rFonts w:hint="eastAsia" w:ascii="楷体_GB2312" w:hAnsi="楷体_GB2312" w:eastAsia="楷体_GB2312" w:cs="楷体_GB2312"/>
          <w:b w:val="0"/>
          <w:bCs w:val="0"/>
          <w:kern w:val="2"/>
          <w:sz w:val="32"/>
          <w:szCs w:val="32"/>
          <w:highlight w:val="none"/>
          <w:lang w:val="en-US" w:eastAsia="zh-CN" w:bidi="zh-CN"/>
        </w:rPr>
        <w:t>（牵头单位：市医保局，参与单位：市民政局、市财政局）</w:t>
      </w:r>
    </w:p>
    <w:p>
      <w:pPr>
        <w:pStyle w:val="6"/>
        <w:keepNext w:val="0"/>
        <w:keepLines w:val="0"/>
        <w:pageBreakBefore w:val="0"/>
        <w:widowControl w:val="0"/>
        <w:numPr>
          <w:ilvl w:val="0"/>
          <w:numId w:val="0"/>
        </w:numPr>
        <w:kinsoku/>
        <w:wordWrap/>
        <w:overflowPunct/>
        <w:topLinePunct w:val="0"/>
        <w:autoSpaceDN/>
        <w:bidi w:val="0"/>
        <w:spacing w:line="56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bookmarkStart w:id="0" w:name="_Toc3486"/>
      <w:bookmarkStart w:id="1" w:name="_Toc13874"/>
      <w:bookmarkStart w:id="2" w:name="_Toc31660"/>
      <w:bookmarkStart w:id="3" w:name="_Toc29424"/>
      <w:bookmarkStart w:id="4" w:name="_Toc20146"/>
      <w:bookmarkStart w:id="5" w:name="_Toc15330"/>
      <w:bookmarkStart w:id="6" w:name="_Toc32431"/>
      <w:bookmarkStart w:id="7" w:name="_Toc12283"/>
      <w:bookmarkStart w:id="8" w:name="_Toc2844"/>
      <w:bookmarkStart w:id="9" w:name="_Toc9669"/>
      <w:bookmarkStart w:id="10" w:name="_Toc11320"/>
      <w:bookmarkStart w:id="11" w:name="_Toc6075"/>
      <w:bookmarkStart w:id="12" w:name="_Toc26914"/>
      <w:bookmarkStart w:id="13" w:name="_Toc12246"/>
      <w:bookmarkStart w:id="14" w:name="_Toc6928"/>
      <w:bookmarkStart w:id="15" w:name="_Toc4462"/>
      <w:bookmarkStart w:id="16" w:name="_Toc166"/>
      <w:bookmarkStart w:id="17" w:name="_Toc21496"/>
      <w:bookmarkStart w:id="18" w:name="_Toc23443"/>
      <w:bookmarkStart w:id="19" w:name="_Toc4736"/>
      <w:bookmarkStart w:id="20" w:name="_Toc5159"/>
      <w:bookmarkStart w:id="21" w:name="_Toc15382"/>
      <w:bookmarkStart w:id="22" w:name="_Toc32525"/>
      <w:bookmarkStart w:id="23" w:name="_Toc25983"/>
      <w:bookmarkStart w:id="24" w:name="_Toc11039"/>
      <w:bookmarkStart w:id="25" w:name="_Toc1368"/>
      <w:bookmarkStart w:id="26" w:name="_Toc27660"/>
      <w:bookmarkStart w:id="27" w:name="_Toc11708"/>
      <w:bookmarkStart w:id="28" w:name="_Toc341"/>
      <w:bookmarkStart w:id="29" w:name="_Toc19703"/>
      <w:bookmarkStart w:id="30" w:name="_Toc6693"/>
      <w:bookmarkStart w:id="31" w:name="_Toc16298"/>
      <w:bookmarkStart w:id="32" w:name="_Toc18150"/>
      <w:bookmarkStart w:id="33" w:name="_Toc32419"/>
      <w:bookmarkStart w:id="34" w:name="_Toc23188"/>
      <w:bookmarkStart w:id="35" w:name="_Toc13747"/>
      <w:bookmarkStart w:id="36" w:name="_Toc18053"/>
      <w:bookmarkStart w:id="37" w:name="_Toc14819"/>
      <w:bookmarkStart w:id="38" w:name="_Toc15712"/>
      <w:bookmarkStart w:id="39" w:name="_Toc3238"/>
      <w:bookmarkStart w:id="40" w:name="_Toc21770"/>
      <w:bookmarkStart w:id="41" w:name="_Toc6757"/>
      <w:bookmarkStart w:id="42" w:name="_Toc4910"/>
      <w:bookmarkStart w:id="43" w:name="_Toc29910"/>
      <w:bookmarkStart w:id="44" w:name="_Toc16361"/>
      <w:bookmarkStart w:id="45" w:name="_Toc23216"/>
      <w:bookmarkStart w:id="46" w:name="_Toc13136"/>
      <w:bookmarkStart w:id="47" w:name="_Toc16871"/>
      <w:bookmarkStart w:id="48" w:name="_Toc22739"/>
      <w:bookmarkStart w:id="49" w:name="_Toc12364"/>
      <w:bookmarkStart w:id="50" w:name="_Toc26905"/>
      <w:r>
        <w:rPr>
          <w:rFonts w:hint="eastAsia" w:ascii="楷体_GB2312" w:hAnsi="楷体_GB2312" w:eastAsia="楷体_GB2312" w:cs="楷体_GB2312"/>
          <w:b w:val="0"/>
          <w:bCs w:val="0"/>
          <w:sz w:val="32"/>
          <w:szCs w:val="32"/>
          <w:highlight w:val="none"/>
          <w:lang w:val="en-US" w:eastAsia="zh-CN"/>
        </w:rPr>
        <w:t>（四）提升农村养老服务能力</w:t>
      </w:r>
    </w:p>
    <w:p>
      <w:pPr>
        <w:pStyle w:val="6"/>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cs="仿宋_GB2312"/>
          <w:b/>
          <w:bCs/>
          <w:kern w:val="2"/>
          <w:sz w:val="32"/>
          <w:szCs w:val="32"/>
          <w:highlight w:val="none"/>
          <w:lang w:val="en-US" w:eastAsia="zh-CN" w:bidi="ar-SA"/>
        </w:rPr>
        <w:t>1.</w:t>
      </w:r>
      <w:r>
        <w:rPr>
          <w:rFonts w:hint="eastAsia" w:ascii="仿宋_GB2312" w:hAnsi="仿宋_GB2312" w:eastAsia="仿宋_GB2312" w:cs="仿宋_GB2312"/>
          <w:b/>
          <w:bCs/>
          <w:kern w:val="2"/>
          <w:sz w:val="32"/>
          <w:szCs w:val="32"/>
          <w:highlight w:val="none"/>
          <w:lang w:val="en-US" w:eastAsia="zh-CN" w:bidi="ar-SA"/>
        </w:rPr>
        <w:t>完善农村养老服务设施。</w:t>
      </w:r>
      <w:r>
        <w:rPr>
          <w:rFonts w:hint="eastAsia" w:ascii="仿宋_GB2312" w:hAnsi="仿宋" w:eastAsia="仿宋_GB2312" w:cs="仿宋_GB2312"/>
          <w:color w:val="auto"/>
          <w:kern w:val="2"/>
          <w:sz w:val="32"/>
          <w:szCs w:val="32"/>
          <w:highlight w:val="none"/>
          <w:lang w:val="en-US" w:eastAsia="zh-CN" w:bidi="zh-CN"/>
        </w:rPr>
        <w:t>加大乡镇敬老院、农村社区以及村委会建设和改造力度，利用闲置校舍、“两委”用房、医院用房、民房等资源，打造新型农村区域性养老机构。鼓励具备条件的村发展农村幸福院、老年食堂等村级养老服务设施,对符合条件的给予运营奖补。鼓励有条件的农村地区建设“家庭式微养老”型机构，由村卫生室托管运营，实现村级医养结合。</w:t>
      </w:r>
      <w:r>
        <w:rPr>
          <w:rFonts w:hint="eastAsia" w:ascii="楷体_GB2312" w:hAnsi="楷体_GB2312" w:eastAsia="楷体_GB2312" w:cs="楷体_GB2312"/>
          <w:b w:val="0"/>
          <w:bCs w:val="0"/>
          <w:sz w:val="32"/>
          <w:szCs w:val="32"/>
          <w:highlight w:val="none"/>
          <w:lang w:val="en-US" w:eastAsia="zh-CN"/>
        </w:rPr>
        <w:t>（牵头单位:市民政局,参与单位:市</w:t>
      </w:r>
      <w:bookmarkStart w:id="51" w:name="_GoBack"/>
      <w:r>
        <w:rPr>
          <w:rFonts w:hint="eastAsia" w:ascii="楷体_GB2312" w:hAnsi="楷体_GB2312" w:eastAsia="楷体_GB2312" w:cs="楷体_GB2312"/>
          <w:b w:val="0"/>
          <w:bCs w:val="0"/>
          <w:sz w:val="32"/>
          <w:szCs w:val="32"/>
          <w:highlight w:val="none"/>
          <w:lang w:val="en-US" w:eastAsia="zh-CN"/>
        </w:rPr>
        <w:t>自然资源</w:t>
      </w:r>
      <w:bookmarkEnd w:id="51"/>
      <w:r>
        <w:rPr>
          <w:rFonts w:hint="eastAsia" w:ascii="楷体_GB2312" w:hAnsi="楷体_GB2312" w:eastAsia="楷体_GB2312" w:cs="楷体_GB2312"/>
          <w:b w:val="0"/>
          <w:bCs w:val="0"/>
          <w:sz w:val="32"/>
          <w:szCs w:val="32"/>
          <w:highlight w:val="none"/>
          <w:lang w:val="en-US" w:eastAsia="zh-CN"/>
        </w:rPr>
        <w:t>和规划局、</w:t>
      </w:r>
      <w:r>
        <w:rPr>
          <w:rFonts w:hint="eastAsia" w:ascii="楷体_GB2312" w:hAnsi="楷体_GB2312" w:eastAsia="楷体_GB2312" w:cs="楷体_GB2312"/>
          <w:b w:val="0"/>
          <w:bCs w:val="0"/>
          <w:kern w:val="2"/>
          <w:sz w:val="32"/>
          <w:szCs w:val="32"/>
          <w:highlight w:val="none"/>
          <w:lang w:val="en-US" w:eastAsia="zh-CN" w:bidi="zh-CN"/>
        </w:rPr>
        <w:t>市卫生健康委</w:t>
      </w:r>
      <w:r>
        <w:rPr>
          <w:rFonts w:hint="eastAsia" w:ascii="楷体_GB2312" w:hAnsi="楷体_GB2312" w:eastAsia="楷体_GB2312" w:cs="楷体_GB2312"/>
          <w:b w:val="0"/>
          <w:bCs w:val="0"/>
          <w:sz w:val="32"/>
          <w:szCs w:val="32"/>
          <w:highlight w:val="none"/>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cs="仿宋_GB2312"/>
          <w:b/>
          <w:bCs/>
          <w:kern w:val="2"/>
          <w:sz w:val="32"/>
          <w:szCs w:val="32"/>
          <w:highlight w:val="none"/>
          <w:lang w:val="en-US" w:eastAsia="zh-CN" w:bidi="ar-SA"/>
        </w:rPr>
      </w:pPr>
      <w:r>
        <w:rPr>
          <w:rFonts w:hint="eastAsia" w:cs="仿宋_GB2312"/>
          <w:b/>
          <w:bCs/>
          <w:kern w:val="2"/>
          <w:sz w:val="32"/>
          <w:szCs w:val="32"/>
          <w:highlight w:val="none"/>
          <w:lang w:val="en-US" w:eastAsia="zh-CN" w:bidi="ar-SA"/>
        </w:rPr>
        <w:t>2.</w:t>
      </w:r>
      <w:r>
        <w:rPr>
          <w:rFonts w:hint="eastAsia" w:ascii="仿宋_GB2312" w:hAnsi="仿宋_GB2312" w:eastAsia="仿宋_GB2312" w:cs="仿宋_GB2312"/>
          <w:b/>
          <w:bCs/>
          <w:kern w:val="2"/>
          <w:sz w:val="32"/>
          <w:szCs w:val="32"/>
          <w:highlight w:val="none"/>
          <w:lang w:val="en-US" w:eastAsia="zh-CN" w:bidi="ar-SA"/>
        </w:rPr>
        <w:t>引导多方资源集聚发展。</w:t>
      </w:r>
      <w:r>
        <w:rPr>
          <w:rFonts w:hint="eastAsia" w:cs="仿宋_GB2312"/>
          <w:kern w:val="2"/>
          <w:sz w:val="32"/>
          <w:szCs w:val="32"/>
          <w:highlight w:val="none"/>
          <w:lang w:val="en-US" w:eastAsia="zh-CN" w:bidi="ar-SA"/>
        </w:rPr>
        <w:t>支持公益慈善组织围绕农村老年人养老需求,开展定向募捐、慈善信托等公益慈善活动,设立关爱服务项目。探索采取“公司（社会组织）+农户+合作社”经营模式积极发展乡村旅居式养老服务等农村特色养老产业。有条件的村可将土地流转、集体经营性建设用地出租出让等集体经济收益,通过民主程序,安排一定比例用于解决本村老年人的养老服务需求。</w:t>
      </w:r>
      <w:r>
        <w:rPr>
          <w:rFonts w:hint="eastAsia" w:cs="仿宋_GB2312"/>
          <w:sz w:val="32"/>
          <w:szCs w:val="32"/>
          <w:highlight w:val="none"/>
          <w:lang w:val="en-US" w:eastAsia="zh-CN"/>
        </w:rPr>
        <w:t>各县级市应因地制宜，打造</w:t>
      </w:r>
      <w:r>
        <w:rPr>
          <w:rFonts w:hint="eastAsia" w:ascii="仿宋_GB2312" w:hAnsi="仿宋_GB2312" w:eastAsia="仿宋_GB2312" w:cs="仿宋_GB2312"/>
          <w:sz w:val="32"/>
          <w:szCs w:val="32"/>
          <w:highlight w:val="none"/>
          <w:lang w:val="en-US" w:eastAsia="zh-CN"/>
        </w:rPr>
        <w:t>“一县一体系一品牌”农村养老服务</w:t>
      </w:r>
      <w:r>
        <w:rPr>
          <w:rFonts w:hint="eastAsia" w:cs="仿宋_GB2312"/>
          <w:sz w:val="32"/>
          <w:szCs w:val="32"/>
          <w:highlight w:val="none"/>
          <w:lang w:val="en-US" w:eastAsia="zh-CN"/>
        </w:rPr>
        <w:t>模式，到2030年底</w:t>
      </w:r>
      <w:r>
        <w:rPr>
          <w:rFonts w:hint="eastAsia" w:cs="仿宋_GB2312"/>
          <w:kern w:val="2"/>
          <w:sz w:val="32"/>
          <w:szCs w:val="32"/>
          <w:highlight w:val="none"/>
          <w:lang w:val="en-US" w:eastAsia="zh-CN" w:bidi="ar-SA"/>
        </w:rPr>
        <w:t>，各区市应形成具</w:t>
      </w:r>
      <w:r>
        <w:rPr>
          <w:rFonts w:hint="eastAsia" w:cs="仿宋_GB2312"/>
          <w:sz w:val="32"/>
          <w:szCs w:val="32"/>
          <w:highlight w:val="none"/>
          <w:lang w:val="en-US" w:eastAsia="zh-CN"/>
        </w:rPr>
        <w:t>有地方特点的农村养老服务品牌。</w:t>
      </w:r>
      <w:r>
        <w:rPr>
          <w:rFonts w:hint="eastAsia" w:ascii="楷体_GB2312" w:hAnsi="楷体_GB2312" w:eastAsia="楷体_GB2312" w:cs="楷体_GB2312"/>
          <w:b w:val="0"/>
          <w:bCs w:val="0"/>
          <w:sz w:val="32"/>
          <w:szCs w:val="32"/>
          <w:highlight w:val="none"/>
          <w:lang w:val="en-US" w:eastAsia="zh-CN"/>
        </w:rPr>
        <w:t>（牵头单位:市民政局,参与单位:市农业农村局）</w:t>
      </w:r>
    </w:p>
    <w:p>
      <w:pPr>
        <w:pStyle w:val="6"/>
        <w:keepNext w:val="0"/>
        <w:keepLines w:val="0"/>
        <w:pageBreakBefore w:val="0"/>
        <w:widowControl w:val="0"/>
        <w:numPr>
          <w:ilvl w:val="0"/>
          <w:numId w:val="0"/>
        </w:numPr>
        <w:kinsoku/>
        <w:wordWrap/>
        <w:overflowPunct/>
        <w:topLinePunct w:val="0"/>
        <w:autoSpaceDN/>
        <w:bidi w:val="0"/>
        <w:spacing w:line="560" w:lineRule="exact"/>
        <w:ind w:firstLine="642" w:firstLineChars="200"/>
        <w:jc w:val="both"/>
        <w:textAlignment w:val="auto"/>
        <w:rPr>
          <w:rFonts w:hint="eastAsia" w:ascii="仿宋_GB2312" w:hAnsi="宋体" w:eastAsia="仿宋_GB2312" w:cs="仿宋_GB2312"/>
          <w:kern w:val="0"/>
          <w:sz w:val="32"/>
          <w:szCs w:val="32"/>
          <w:highlight w:val="none"/>
          <w:lang w:eastAsia="zh-CN"/>
        </w:rPr>
      </w:pPr>
      <w:r>
        <w:rPr>
          <w:rFonts w:hint="eastAsia" w:ascii="仿宋_GB2312" w:hAnsi="仿宋_GB2312" w:eastAsia="仿宋_GB2312" w:cs="仿宋_GB2312"/>
          <w:b/>
          <w:bCs/>
          <w:kern w:val="2"/>
          <w:sz w:val="32"/>
          <w:szCs w:val="32"/>
          <w:highlight w:val="none"/>
          <w:lang w:val="en-US" w:eastAsia="zh-CN" w:bidi="ar-SA"/>
        </w:rPr>
        <w:t>3.支持发展农村互助养老。</w:t>
      </w:r>
      <w:r>
        <w:rPr>
          <w:rFonts w:hint="eastAsia" w:ascii="仿宋_GB2312" w:hAnsi="黑体" w:eastAsia="仿宋_GB2312" w:cs="Times New Roman"/>
          <w:sz w:val="32"/>
          <w:szCs w:val="32"/>
          <w:highlight w:val="none"/>
        </w:rPr>
        <w:t>支持在农村地区，以村居为单位，</w:t>
      </w:r>
      <w:r>
        <w:rPr>
          <w:rFonts w:hint="eastAsia" w:hAnsi="黑体" w:cs="Times New Roman"/>
          <w:sz w:val="32"/>
          <w:szCs w:val="32"/>
          <w:highlight w:val="none"/>
          <w:lang w:eastAsia="zh-CN"/>
        </w:rPr>
        <w:t>依托</w:t>
      </w:r>
      <w:r>
        <w:rPr>
          <w:rFonts w:hint="eastAsia" w:ascii="仿宋_GB2312" w:hAnsi="黑体" w:eastAsia="仿宋_GB2312" w:cs="Times New Roman"/>
          <w:sz w:val="32"/>
          <w:szCs w:val="32"/>
          <w:highlight w:val="none"/>
        </w:rPr>
        <w:t>城乡社区养老服务设施</w:t>
      </w:r>
      <w:r>
        <w:rPr>
          <w:rFonts w:hint="eastAsia" w:hAnsi="黑体" w:cs="Times New Roman"/>
          <w:sz w:val="32"/>
          <w:szCs w:val="32"/>
          <w:highlight w:val="none"/>
          <w:lang w:eastAsia="zh-CN"/>
        </w:rPr>
        <w:t>，</w:t>
      </w:r>
      <w:r>
        <w:rPr>
          <w:rFonts w:hint="eastAsia" w:ascii="仿宋_GB2312" w:hAnsi="仿宋_GB2312" w:eastAsia="仿宋_GB2312" w:cs="仿宋_GB2312"/>
          <w:sz w:val="32"/>
          <w:szCs w:val="32"/>
          <w:highlight w:val="none"/>
          <w:lang w:val="en-US" w:eastAsia="zh-CN"/>
        </w:rPr>
        <w:t>让农村兜底保障对象、高龄、独居、留守、失能老年人等群体就近获得</w:t>
      </w:r>
      <w:r>
        <w:rPr>
          <w:rFonts w:hint="eastAsia" w:cs="仿宋_GB2312"/>
          <w:sz w:val="32"/>
          <w:szCs w:val="32"/>
          <w:highlight w:val="none"/>
          <w:lang w:val="en-US" w:eastAsia="zh-CN"/>
        </w:rPr>
        <w:t>互助</w:t>
      </w:r>
      <w:r>
        <w:rPr>
          <w:rFonts w:hint="eastAsia" w:ascii="仿宋_GB2312" w:hAnsi="仿宋_GB2312" w:eastAsia="仿宋_GB2312" w:cs="仿宋_GB2312"/>
          <w:sz w:val="32"/>
          <w:szCs w:val="32"/>
          <w:highlight w:val="none"/>
          <w:lang w:val="en-US" w:eastAsia="zh-CN"/>
        </w:rPr>
        <w:t>支持，</w:t>
      </w:r>
      <w:r>
        <w:rPr>
          <w:rFonts w:hint="eastAsia" w:cs="仿宋_GB2312"/>
          <w:sz w:val="32"/>
          <w:szCs w:val="32"/>
          <w:highlight w:val="none"/>
          <w:lang w:val="en-US" w:eastAsia="zh-CN"/>
        </w:rPr>
        <w:t>形成</w:t>
      </w:r>
      <w:r>
        <w:rPr>
          <w:rFonts w:hint="eastAsia" w:ascii="仿宋_GB2312" w:hAnsi="黑体" w:eastAsia="仿宋_GB2312" w:cs="Times New Roman"/>
          <w:sz w:val="32"/>
          <w:szCs w:val="32"/>
          <w:highlight w:val="none"/>
        </w:rPr>
        <w:t>以“探访问安、陪伴聊天、随手家务、应急帮扶”为主要帮扶内容的</w:t>
      </w:r>
      <w:r>
        <w:rPr>
          <w:rFonts w:hint="eastAsia" w:ascii="仿宋_GB2312" w:hAnsi="黑体" w:eastAsia="仿宋_GB2312" w:cs="Times New Roman"/>
          <w:sz w:val="32"/>
          <w:szCs w:val="32"/>
          <w:highlight w:val="none"/>
          <w:lang w:eastAsia="zh-CN"/>
        </w:rPr>
        <w:t>烟台城乡</w:t>
      </w:r>
      <w:r>
        <w:rPr>
          <w:rFonts w:hint="eastAsia" w:hAnsi="黑体" w:cs="Times New Roman"/>
          <w:sz w:val="32"/>
          <w:szCs w:val="32"/>
          <w:highlight w:val="none"/>
          <w:lang w:eastAsia="zh-CN"/>
        </w:rPr>
        <w:t>邻里互助</w:t>
      </w:r>
      <w:r>
        <w:rPr>
          <w:rFonts w:hint="eastAsia" w:ascii="仿宋_GB2312" w:hAnsi="黑体" w:eastAsia="仿宋_GB2312" w:cs="Times New Roman"/>
          <w:sz w:val="32"/>
          <w:szCs w:val="32"/>
          <w:highlight w:val="none"/>
          <w:lang w:eastAsia="zh-CN"/>
        </w:rPr>
        <w:t>养老模式。</w:t>
      </w:r>
      <w:r>
        <w:rPr>
          <w:rFonts w:hint="eastAsia" w:ascii="仿宋_GB2312" w:hAnsi="黑体" w:eastAsia="仿宋_GB2312" w:cs="Times New Roman"/>
          <w:sz w:val="32"/>
          <w:szCs w:val="32"/>
          <w:highlight w:val="none"/>
        </w:rPr>
        <w:t>按照城乡社区规模和老年人口数量，给予每个区市每年不超过10万元的城乡社区邻里互助养老服务奖补</w:t>
      </w:r>
      <w:r>
        <w:rPr>
          <w:rFonts w:hint="eastAsia" w:ascii="仿宋_GB2312" w:hAnsi="黑体" w:eastAsia="仿宋_GB2312" w:cs="Times New Roman"/>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（牵头单位:市民政局,参与单位:市财政局、市农业农村局）</w:t>
      </w:r>
    </w:p>
    <w:p>
      <w:pPr>
        <w:pStyle w:val="6"/>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黑体" w:eastAsia="仿宋_GB2312" w:cs="Times New Roman"/>
          <w:sz w:val="32"/>
          <w:szCs w:val="32"/>
          <w:highlight w:val="none"/>
          <w:lang w:eastAsia="zh-CN"/>
        </w:rPr>
      </w:pPr>
      <w:r>
        <w:rPr>
          <w:rFonts w:hint="eastAsia" w:ascii="仿宋_GB2312" w:hAnsi="仿宋_GB2312" w:eastAsia="仿宋_GB2312" w:cs="仿宋_GB2312"/>
          <w:b/>
          <w:bCs/>
          <w:kern w:val="2"/>
          <w:sz w:val="32"/>
          <w:szCs w:val="32"/>
          <w:highlight w:val="none"/>
          <w:lang w:val="en-US" w:eastAsia="zh-CN" w:bidi="ar-SA"/>
        </w:rPr>
        <w:t>4.完善城乡协作支援机制。</w:t>
      </w:r>
      <w:r>
        <w:rPr>
          <w:rFonts w:hint="eastAsia" w:ascii="仿宋_GB2312" w:hAnsi="仿宋_GB2312" w:eastAsia="仿宋_GB2312" w:cs="仿宋_GB2312"/>
          <w:kern w:val="2"/>
          <w:sz w:val="32"/>
          <w:szCs w:val="32"/>
          <w:highlight w:val="none"/>
          <w:lang w:val="en-US" w:eastAsia="zh-CN" w:bidi="ar-SA"/>
        </w:rPr>
        <w:t>健全城乡养老机构帮扶激励机制,通过驻点帮扶、技术指导、资金捐助、物资捐赠、合作开展项目等方式,支持农村养老机构建设和运营。加大政策支持力度，</w:t>
      </w:r>
      <w:r>
        <w:rPr>
          <w:rFonts w:hint="eastAsia" w:ascii="仿宋_GB2312" w:hAnsi="黑体" w:eastAsia="仿宋_GB2312" w:cs="Times New Roman"/>
          <w:sz w:val="32"/>
          <w:szCs w:val="32"/>
          <w:highlight w:val="none"/>
        </w:rPr>
        <w:t>发挥“近邻”和“熟人”优势，推进老有所养和老有所为相结合</w:t>
      </w:r>
      <w:r>
        <w:rPr>
          <w:rFonts w:hint="eastAsia" w:ascii="仿宋_GB2312" w:hAnsi="黑体" w:eastAsia="仿宋_GB2312" w:cs="Times New Roman"/>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仿宋_GB2312"/>
          <w:i w:val="0"/>
          <w:caps w:val="0"/>
          <w:color w:val="000000"/>
          <w:spacing w:val="0"/>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引导更多有能力、有意愿的村民和农村低龄老年人参与提供养老服务，吸引更多养老服务人才返乡入乡就业创业。</w:t>
      </w:r>
      <w:r>
        <w:rPr>
          <w:rFonts w:hint="eastAsia" w:ascii="楷体_GB2312" w:hAnsi="楷体_GB2312" w:eastAsia="楷体_GB2312" w:cs="楷体_GB2312"/>
          <w:b w:val="0"/>
          <w:bCs w:val="0"/>
          <w:sz w:val="32"/>
          <w:szCs w:val="32"/>
          <w:highlight w:val="none"/>
          <w:lang w:val="en-US" w:eastAsia="zh-CN"/>
        </w:rPr>
        <w:t>（牵头单位:市民政局，参与单位：市农业农村局）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keepNext w:val="0"/>
        <w:keepLines w:val="0"/>
        <w:pageBreakBefore w:val="0"/>
        <w:kinsoku/>
        <w:wordWrap/>
        <w:overflowPunct/>
        <w:topLinePunct w:val="0"/>
        <w:autoSpaceDN/>
        <w:bidi w:val="0"/>
        <w:spacing w:line="560" w:lineRule="exact"/>
        <w:ind w:firstLine="642" w:firstLineChars="200"/>
        <w:rPr>
          <w:rFonts w:hint="eastAsia" w:cs="仿宋_GB2312"/>
          <w:i w:val="0"/>
          <w:caps w:val="0"/>
          <w:color w:val="000000"/>
          <w:spacing w:val="0"/>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4.打造镇域养老服务高质量发展示范点。</w:t>
      </w:r>
      <w:r>
        <w:rPr>
          <w:rFonts w:hint="eastAsia" w:ascii="仿宋_GB2312" w:hAnsi="仿宋_GB2312" w:eastAsia="仿宋_GB2312" w:cs="仿宋_GB2312"/>
          <w:kern w:val="2"/>
          <w:sz w:val="32"/>
          <w:szCs w:val="32"/>
          <w:highlight w:val="none"/>
          <w:lang w:val="en-US" w:eastAsia="zh-CN" w:bidi="ar-SA"/>
        </w:rPr>
        <w:t>2024年至2026年，市级组织开展镇域养老服务高质量发展示范点，采取竞争立项方式，每年在全市范围内择优确定5个乡镇（街道），予以30万元奖补。</w:t>
      </w:r>
      <w:r>
        <w:rPr>
          <w:rFonts w:hint="eastAsia" w:ascii="楷体_GB2312" w:hAnsi="楷体_GB2312" w:eastAsia="楷体_GB2312" w:cs="楷体_GB2312"/>
          <w:b w:val="0"/>
          <w:bCs w:val="0"/>
          <w:sz w:val="32"/>
          <w:szCs w:val="32"/>
          <w:highlight w:val="none"/>
          <w:lang w:val="en-US" w:eastAsia="zh-CN"/>
        </w:rPr>
        <w:t>（牵头单位:市民政局，参与单位：市财政局）</w:t>
      </w:r>
    </w:p>
    <w:p>
      <w:pPr>
        <w:pStyle w:val="6"/>
        <w:keepNext w:val="0"/>
        <w:keepLines w:val="0"/>
        <w:pageBreakBefore w:val="0"/>
        <w:widowControl w:val="0"/>
        <w:numPr>
          <w:ilvl w:val="0"/>
          <w:numId w:val="0"/>
        </w:numPr>
        <w:kinsoku/>
        <w:wordWrap/>
        <w:overflowPunct/>
        <w:topLinePunct w:val="0"/>
        <w:autoSpaceDN/>
        <w:bidi w:val="0"/>
        <w:spacing w:line="56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（五）提升养老人才队伍建设能力</w:t>
      </w:r>
    </w:p>
    <w:p>
      <w:pPr>
        <w:keepNext w:val="0"/>
        <w:keepLines w:val="0"/>
        <w:pageBreakBefore w:val="0"/>
        <w:widowControl w:val="0"/>
        <w:kinsoku/>
        <w:wordWrap/>
        <w:overflowPunct/>
        <w:topLinePunct w:val="0"/>
        <w:autoSpaceDN/>
        <w:bidi w:val="0"/>
        <w:spacing w:line="560" w:lineRule="exact"/>
        <w:ind w:firstLine="642" w:firstLineChars="200"/>
        <w:textAlignment w:val="auto"/>
        <w:rPr>
          <w:rFonts w:hint="eastAsia"/>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1.加大养老人才培育。</w:t>
      </w:r>
      <w:r>
        <w:rPr>
          <w:rFonts w:hint="eastAsia" w:ascii="仿宋_GB2312" w:hAnsi="仿宋_GB2312" w:eastAsia="仿宋_GB2312" w:cs="仿宋_GB2312"/>
          <w:sz w:val="32"/>
          <w:szCs w:val="32"/>
          <w:highlight w:val="none"/>
          <w:lang w:val="en-US" w:eastAsia="zh-CN"/>
        </w:rPr>
        <w:t>鼓励在烟高校、职业院校等开设养老服务相关专业，推动养老服务职业教育集团化发展，</w:t>
      </w:r>
      <w:r>
        <w:rPr>
          <w:rFonts w:hint="eastAsia" w:ascii="仿宋_GB2312" w:hAnsi="仿宋_GB2312" w:eastAsia="仿宋_GB2312" w:cs="仿宋_GB2312"/>
          <w:kern w:val="2"/>
          <w:sz w:val="32"/>
          <w:szCs w:val="32"/>
          <w:highlight w:val="none"/>
          <w:lang w:val="en-US" w:eastAsia="zh-CN" w:bidi="ar-SA"/>
        </w:rPr>
        <w:t>支持针对养老人才培育开展多种形式政校企合作，对符合条件的院校给予专项奖补。支持行业协会、院校等开展康复辅助技术咨询师、健康照护师（长期照护师）职业技能等级认定。推动将养老护理员培训纳入本地补贴性职业技能培训项目指导目录，实行“学历证书+职业技能等级证书”制度，落实职业培训补贴政策，</w:t>
      </w:r>
      <w:r>
        <w:rPr>
          <w:rFonts w:hint="eastAsia" w:ascii="仿宋_GB2312" w:hAnsi="仿宋_GB2312" w:eastAsia="仿宋_GB2312" w:cs="仿宋_GB2312"/>
          <w:color w:val="000000"/>
          <w:kern w:val="2"/>
          <w:sz w:val="32"/>
          <w:szCs w:val="32"/>
          <w:highlight w:val="none"/>
        </w:rPr>
        <w:t>到2025年</w:t>
      </w:r>
      <w:r>
        <w:rPr>
          <w:rFonts w:hint="eastAsia" w:ascii="仿宋_GB2312" w:hAnsi="仿宋_GB2312" w:eastAsia="仿宋_GB2312" w:cs="仿宋_GB2312"/>
          <w:color w:val="000000"/>
          <w:kern w:val="2"/>
          <w:sz w:val="32"/>
          <w:szCs w:val="32"/>
          <w:highlight w:val="none"/>
          <w:lang w:eastAsia="zh-CN"/>
        </w:rPr>
        <w:t>底前，</w:t>
      </w:r>
      <w:r>
        <w:rPr>
          <w:rFonts w:hint="eastAsia" w:ascii="仿宋_GB2312" w:hAnsi="仿宋_GB2312" w:eastAsia="仿宋_GB2312" w:cs="仿宋_GB2312"/>
          <w:color w:val="000000"/>
          <w:kern w:val="2"/>
          <w:sz w:val="32"/>
          <w:szCs w:val="32"/>
          <w:highlight w:val="none"/>
        </w:rPr>
        <w:t>持证上岗率达到90%以上</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kern w:val="2"/>
          <w:sz w:val="32"/>
          <w:szCs w:val="32"/>
          <w:highlight w:val="none"/>
          <w:lang w:val="en-US" w:eastAsia="zh-CN" w:bidi="ar-SA"/>
        </w:rPr>
        <w:t>支持山东省烟台护士学校与烟台国际合作公司继续举办“日语陪护班”，稳步探索与日合作护理培训机制。到2030年底，建成一处国际化标准养老服务实训室，打造全国养老人才培训基地。</w:t>
      </w:r>
      <w:r>
        <w:rPr>
          <w:rFonts w:hint="eastAsia" w:ascii="楷体_GB2312" w:hAnsi="仿宋_GB2312" w:eastAsia="楷体_GB2312" w:cs="仿宋_GB2312"/>
          <w:color w:val="000000"/>
          <w:kern w:val="2"/>
          <w:sz w:val="32"/>
          <w:szCs w:val="32"/>
          <w:highlight w:val="none"/>
        </w:rPr>
        <w:t>（</w:t>
      </w:r>
      <w:r>
        <w:rPr>
          <w:rFonts w:hint="eastAsia" w:ascii="楷体_GB2312" w:hAnsi="楷体_GB2312" w:eastAsia="楷体_GB2312" w:cs="楷体_GB2312"/>
          <w:b w:val="0"/>
          <w:bCs w:val="0"/>
          <w:kern w:val="2"/>
          <w:sz w:val="32"/>
          <w:szCs w:val="32"/>
          <w:highlight w:val="none"/>
          <w:lang w:val="en-US" w:eastAsia="zh-CN" w:bidi="zh-CN"/>
        </w:rPr>
        <w:t>牵头单位：</w:t>
      </w:r>
      <w:r>
        <w:rPr>
          <w:rFonts w:hint="eastAsia" w:ascii="楷体_GB2312" w:hAnsi="仿宋_GB2312" w:eastAsia="楷体_GB2312" w:cs="仿宋_GB2312"/>
          <w:color w:val="000000"/>
          <w:kern w:val="2"/>
          <w:sz w:val="32"/>
          <w:szCs w:val="32"/>
          <w:highlight w:val="none"/>
        </w:rPr>
        <w:t>市民政局、市发</w:t>
      </w:r>
      <w:r>
        <w:rPr>
          <w:rFonts w:hint="eastAsia" w:ascii="楷体_GB2312" w:hAnsi="仿宋_GB2312" w:eastAsia="楷体_GB2312" w:cs="仿宋_GB2312"/>
          <w:color w:val="000000"/>
          <w:kern w:val="2"/>
          <w:sz w:val="32"/>
          <w:szCs w:val="32"/>
          <w:highlight w:val="none"/>
          <w:lang w:eastAsia="zh-CN"/>
        </w:rPr>
        <w:t>发展改革</w:t>
      </w:r>
      <w:r>
        <w:rPr>
          <w:rFonts w:hint="eastAsia" w:ascii="楷体_GB2312" w:hAnsi="仿宋_GB2312" w:eastAsia="楷体_GB2312" w:cs="仿宋_GB2312"/>
          <w:color w:val="000000"/>
          <w:kern w:val="2"/>
          <w:sz w:val="32"/>
          <w:szCs w:val="32"/>
          <w:highlight w:val="none"/>
        </w:rPr>
        <w:t>、</w:t>
      </w:r>
      <w:r>
        <w:rPr>
          <w:rFonts w:hint="eastAsia" w:ascii="楷体_GB2312" w:hAnsi="楷体_GB2312" w:eastAsia="楷体_GB2312" w:cs="楷体_GB2312"/>
          <w:b w:val="0"/>
          <w:bCs w:val="0"/>
          <w:kern w:val="2"/>
          <w:sz w:val="32"/>
          <w:szCs w:val="32"/>
          <w:highlight w:val="none"/>
          <w:lang w:val="en-US" w:eastAsia="zh-CN" w:bidi="zh-CN"/>
        </w:rPr>
        <w:t>市人力资源社会保障局</w:t>
      </w:r>
      <w:r>
        <w:rPr>
          <w:rFonts w:hint="eastAsia" w:ascii="楷体_GB2312" w:hAnsi="仿宋_GB2312" w:eastAsia="楷体_GB2312" w:cs="仿宋_GB2312"/>
          <w:color w:val="000000"/>
          <w:kern w:val="2"/>
          <w:sz w:val="32"/>
          <w:szCs w:val="32"/>
          <w:highlight w:val="none"/>
          <w:lang w:eastAsia="zh-CN"/>
        </w:rPr>
        <w:t>，参与单位：市财政局、</w:t>
      </w:r>
      <w:r>
        <w:rPr>
          <w:rFonts w:hint="eastAsia" w:ascii="楷体_GB2312" w:hAnsi="仿宋_GB2312" w:eastAsia="楷体_GB2312" w:cs="仿宋_GB2312"/>
          <w:color w:val="000000"/>
          <w:kern w:val="2"/>
          <w:sz w:val="32"/>
          <w:szCs w:val="32"/>
          <w:highlight w:val="none"/>
        </w:rPr>
        <w:t>市教育局）</w:t>
      </w:r>
    </w:p>
    <w:p>
      <w:pPr>
        <w:keepNext w:val="0"/>
        <w:keepLines w:val="0"/>
        <w:pageBreakBefore w:val="0"/>
        <w:widowControl w:val="0"/>
        <w:numPr>
          <w:ilvl w:val="0"/>
          <w:numId w:val="0"/>
        </w:numPr>
        <w:kinsoku/>
        <w:wordWrap/>
        <w:overflowPunct/>
        <w:topLinePunct w:val="0"/>
        <w:autoSpaceDN/>
        <w:bidi w:val="0"/>
        <w:spacing w:line="560" w:lineRule="exact"/>
        <w:ind w:firstLine="642" w:firstLineChars="200"/>
        <w:textAlignment w:val="auto"/>
        <w:rPr>
          <w:rFonts w:hint="eastAsia" w:ascii="楷体_GB2312" w:hAnsi="仿宋_GB2312" w:eastAsia="楷体_GB2312" w:cs="仿宋_GB2312"/>
          <w:color w:val="000000"/>
          <w:kern w:val="2"/>
          <w:sz w:val="32"/>
          <w:szCs w:val="32"/>
          <w:highlight w:val="none"/>
          <w:lang w:eastAsia="zh-CN"/>
        </w:rPr>
      </w:pPr>
      <w:r>
        <w:rPr>
          <w:rFonts w:hint="eastAsia" w:ascii="仿宋_GB2312" w:hAnsi="仿宋_GB2312" w:eastAsia="仿宋_GB2312" w:cs="仿宋_GB2312"/>
          <w:b/>
          <w:bCs/>
          <w:kern w:val="2"/>
          <w:sz w:val="32"/>
          <w:szCs w:val="32"/>
          <w:highlight w:val="none"/>
          <w:lang w:val="en-US" w:eastAsia="zh-CN" w:bidi="ar-SA"/>
        </w:rPr>
        <w:t>2.拓宽人才队伍来源。</w:t>
      </w:r>
      <w:r>
        <w:rPr>
          <w:rFonts w:hint="eastAsia" w:ascii="仿宋_GB2312" w:hAnsi="仿宋_GB2312" w:eastAsia="仿宋_GB2312" w:cs="仿宋_GB2312"/>
          <w:kern w:val="2"/>
          <w:sz w:val="32"/>
          <w:szCs w:val="32"/>
          <w:highlight w:val="none"/>
          <w:lang w:val="en-US" w:eastAsia="zh-CN" w:bidi="ar-SA"/>
        </w:rPr>
        <w:t>鼓励养老服务机构与家政服务、物业服务等机构开展合作</w:t>
      </w:r>
      <w:r>
        <w:rPr>
          <w:rFonts w:hint="eastAsia" w:ascii="仿宋_GB2312" w:hAnsi="仿宋_GB2312" w:eastAsia="仿宋_GB2312" w:cs="仿宋_GB2312"/>
          <w:color w:val="000000"/>
          <w:kern w:val="2"/>
          <w:sz w:val="32"/>
          <w:szCs w:val="32"/>
          <w:highlight w:val="none"/>
        </w:rPr>
        <w:t>，引导相关人才转型从事养老护理相关工作。</w:t>
      </w:r>
      <w:r>
        <w:rPr>
          <w:rFonts w:hint="eastAsia" w:ascii="仿宋_GB2312" w:hAnsi="仿宋_GB2312" w:eastAsia="仿宋_GB2312" w:cs="仿宋_GB2312"/>
          <w:kern w:val="2"/>
          <w:sz w:val="32"/>
          <w:szCs w:val="32"/>
          <w:highlight w:val="none"/>
          <w:lang w:val="en-US" w:eastAsia="zh-CN" w:bidi="ar-SA"/>
        </w:rPr>
        <w:t>积极吸纳退休的医生、护士到养老服务机构内设的医疗机构执业或提供技术指导、技能培训。广泛培养服务于老年人的志愿者队伍，鼓励低龄健康老年人积极参与养老服务。落实就业创业扶持政策，对到农村等养老服务基础薄弱地区的就业创业人员加大支持力度。加大公益性岗位配置,上岗人员待遇统一实行政府补贴。</w:t>
      </w:r>
      <w:r>
        <w:rPr>
          <w:rFonts w:hint="eastAsia" w:ascii="楷体_GB2312" w:hAnsi="楷体_GB2312" w:eastAsia="楷体_GB2312" w:cs="楷体_GB2312"/>
          <w:b w:val="0"/>
          <w:bCs w:val="0"/>
          <w:kern w:val="2"/>
          <w:sz w:val="32"/>
          <w:szCs w:val="32"/>
          <w:highlight w:val="none"/>
          <w:lang w:val="en-US" w:eastAsia="zh-CN" w:bidi="zh-CN"/>
        </w:rPr>
        <w:t>（牵头单位:市民政局、市人力资源社会保障局、市卫生健康委,参与单位:市财政局</w:t>
      </w:r>
      <w:r>
        <w:rPr>
          <w:rFonts w:hint="eastAsia" w:ascii="楷体_GB2312" w:hAnsi="仿宋_GB2312" w:eastAsia="楷体_GB2312" w:cs="仿宋_GB2312"/>
          <w:color w:val="000000"/>
          <w:kern w:val="2"/>
          <w:sz w:val="32"/>
          <w:szCs w:val="32"/>
          <w:highlight w:val="none"/>
        </w:rPr>
        <w:t>、市教育局</w:t>
      </w:r>
      <w:r>
        <w:rPr>
          <w:rFonts w:hint="eastAsia" w:ascii="楷体_GB2312" w:hAnsi="仿宋_GB2312" w:eastAsia="楷体_GB2312" w:cs="仿宋_GB2312"/>
          <w:color w:val="000000"/>
          <w:kern w:val="2"/>
          <w:sz w:val="32"/>
          <w:szCs w:val="32"/>
          <w:highlight w:val="none"/>
          <w:lang w:eastAsia="zh-CN"/>
        </w:rPr>
        <w:t>）</w:t>
      </w:r>
    </w:p>
    <w:p>
      <w:pPr>
        <w:keepNext w:val="0"/>
        <w:keepLines w:val="0"/>
        <w:pageBreakBefore w:val="0"/>
        <w:widowControl w:val="0"/>
        <w:suppressLineNumbers w:val="0"/>
        <w:kinsoku/>
        <w:wordWrap/>
        <w:overflowPunct/>
        <w:topLinePunct w:val="0"/>
        <w:autoSpaceDE w:val="0"/>
        <w:autoSpaceDN/>
        <w:bidi w:val="0"/>
        <w:adjustRightInd/>
        <w:snapToGrid/>
        <w:spacing w:line="560" w:lineRule="exact"/>
        <w:ind w:firstLine="642" w:firstLineChars="200"/>
        <w:jc w:val="both"/>
        <w:textAlignment w:val="auto"/>
        <w:rPr>
          <w:rFonts w:hint="eastAsia" w:ascii="楷体_GB2312" w:hAnsi="楷体_GB2312" w:eastAsia="楷体_GB2312" w:cs="楷体_GB2312"/>
          <w:b w:val="0"/>
          <w:bCs w:val="0"/>
          <w:kern w:val="2"/>
          <w:sz w:val="32"/>
          <w:szCs w:val="32"/>
          <w:highlight w:val="none"/>
          <w:lang w:val="en-US" w:eastAsia="zh-CN" w:bidi="zh-CN"/>
        </w:rPr>
      </w:pPr>
      <w:r>
        <w:rPr>
          <w:rFonts w:hint="eastAsia" w:ascii="仿宋_GB2312" w:hAnsi="仿宋_GB2312" w:eastAsia="仿宋_GB2312" w:cs="仿宋_GB2312"/>
          <w:b/>
          <w:bCs/>
          <w:kern w:val="2"/>
          <w:sz w:val="32"/>
          <w:szCs w:val="32"/>
          <w:highlight w:val="none"/>
          <w:lang w:val="en-US" w:eastAsia="zh-CN" w:bidi="ar-SA"/>
        </w:rPr>
        <w:t>3.完善人才保障机制。</w:t>
      </w:r>
      <w:r>
        <w:rPr>
          <w:rFonts w:hint="eastAsia" w:ascii="仿宋_GB2312" w:hAnsi="仿宋_GB2312" w:eastAsia="仿宋_GB2312" w:cs="仿宋_GB2312"/>
          <w:sz w:val="32"/>
          <w:szCs w:val="32"/>
          <w:highlight w:val="none"/>
          <w:lang w:val="en-US" w:eastAsia="zh-CN"/>
        </w:rPr>
        <w:t>指导养老机</w:t>
      </w:r>
      <w:r>
        <w:rPr>
          <w:rFonts w:hint="eastAsia" w:ascii="仿宋_GB2312" w:hAnsi="仿宋_GB2312" w:eastAsia="仿宋_GB2312" w:cs="仿宋_GB2312"/>
          <w:kern w:val="0"/>
          <w:sz w:val="32"/>
          <w:szCs w:val="32"/>
          <w:highlight w:val="none"/>
          <w:lang w:val="en-US" w:eastAsia="zh-CN" w:bidi="zh-CN"/>
        </w:rPr>
        <w:t>构建立基于专业技能、岗位价值、劳动贡献的工资分配机</w:t>
      </w:r>
      <w:r>
        <w:rPr>
          <w:rFonts w:hint="eastAsia" w:ascii="仿宋_GB2312" w:hAnsi="仿宋_GB2312" w:eastAsia="仿宋_GB2312" w:cs="仿宋_GB2312"/>
          <w:sz w:val="32"/>
          <w:szCs w:val="32"/>
          <w:highlight w:val="none"/>
          <w:lang w:val="en-US" w:eastAsia="zh-CN"/>
        </w:rPr>
        <w:t>制，逐步提高养老护理员薪酬待遇。</w:t>
      </w:r>
      <w:r>
        <w:rPr>
          <w:rFonts w:hint="default" w:ascii="仿宋_GB2312" w:hAnsi="仿宋_GB2312" w:eastAsia="仿宋_GB2312" w:cs="仿宋_GB2312"/>
          <w:kern w:val="0"/>
          <w:sz w:val="32"/>
          <w:szCs w:val="32"/>
          <w:highlight w:val="none"/>
          <w:lang w:val="en-US" w:eastAsia="zh-CN" w:bidi="zh-CN"/>
        </w:rPr>
        <w:t>养老服务组织聘用的医护人员与医疗机构同类专业技术人员在职称评定、职业技能培训等方面享受同等待遇</w:t>
      </w:r>
      <w:r>
        <w:rPr>
          <w:rFonts w:hint="eastAsia" w:ascii="仿宋_GB2312" w:hAnsi="仿宋_GB2312" w:eastAsia="仿宋_GB2312" w:cs="仿宋_GB2312"/>
          <w:kern w:val="0"/>
          <w:sz w:val="32"/>
          <w:szCs w:val="32"/>
          <w:highlight w:val="none"/>
          <w:lang w:val="en-US" w:eastAsia="zh-CN" w:bidi="zh-CN"/>
        </w:rPr>
        <w:t>。</w:t>
      </w:r>
      <w:r>
        <w:rPr>
          <w:rFonts w:hint="eastAsia" w:ascii="仿宋_GB2312" w:hAnsi="仿宋_GB2312" w:eastAsia="仿宋_GB2312" w:cs="仿宋_GB2312"/>
          <w:kern w:val="2"/>
          <w:sz w:val="32"/>
          <w:szCs w:val="32"/>
          <w:highlight w:val="none"/>
          <w:lang w:val="en-US" w:eastAsia="zh-CN" w:bidi="ar-SA"/>
        </w:rPr>
        <w:t>卫生系列护理专业高级职称评审时,可对医养结合机构中的护理人员单独分组、单独评审。卫生专业技术人员聘任于医养结合机构,符合要求的可申报高级职称。对于</w:t>
      </w:r>
      <w:r>
        <w:rPr>
          <w:rFonts w:hint="eastAsia" w:ascii="仿宋_GB2312" w:hAnsi="仿宋_GB2312" w:eastAsia="仿宋_GB2312" w:cs="仿宋_GB2312"/>
          <w:i w:val="0"/>
          <w:iCs w:val="0"/>
          <w:caps w:val="0"/>
          <w:spacing w:val="8"/>
          <w:sz w:val="32"/>
          <w:szCs w:val="32"/>
          <w:highlight w:val="none"/>
        </w:rPr>
        <w:t>符合</w:t>
      </w:r>
      <w:r>
        <w:rPr>
          <w:rFonts w:hint="eastAsia" w:ascii="仿宋_GB2312" w:hAnsi="仿宋_GB2312" w:eastAsia="仿宋_GB2312" w:cs="仿宋_GB2312"/>
          <w:i w:val="0"/>
          <w:iCs w:val="0"/>
          <w:caps w:val="0"/>
          <w:spacing w:val="8"/>
          <w:sz w:val="32"/>
          <w:szCs w:val="32"/>
          <w:highlight w:val="none"/>
          <w:lang w:eastAsia="zh-CN"/>
        </w:rPr>
        <w:t>岗位设置要求的</w:t>
      </w:r>
      <w:r>
        <w:rPr>
          <w:rFonts w:hint="eastAsia" w:ascii="仿宋_GB2312" w:hAnsi="仿宋_GB2312" w:eastAsia="仿宋_GB2312" w:cs="仿宋_GB2312"/>
          <w:i w:val="0"/>
          <w:iCs w:val="0"/>
          <w:caps w:val="0"/>
          <w:spacing w:val="8"/>
          <w:sz w:val="32"/>
          <w:szCs w:val="32"/>
          <w:highlight w:val="none"/>
        </w:rPr>
        <w:t>养老服务类小微企业</w:t>
      </w:r>
      <w:r>
        <w:rPr>
          <w:rFonts w:hint="eastAsia" w:ascii="仿宋_GB2312" w:hAnsi="仿宋_GB2312" w:eastAsia="仿宋_GB2312" w:cs="仿宋_GB2312"/>
          <w:i w:val="0"/>
          <w:iCs w:val="0"/>
          <w:caps w:val="0"/>
          <w:spacing w:val="8"/>
          <w:sz w:val="32"/>
          <w:szCs w:val="32"/>
          <w:highlight w:val="none"/>
          <w:lang w:eastAsia="zh-CN"/>
        </w:rPr>
        <w:t>按规定</w:t>
      </w:r>
      <w:r>
        <w:rPr>
          <w:rFonts w:hint="eastAsia" w:ascii="仿宋_GB2312" w:hAnsi="仿宋_GB2312" w:eastAsia="仿宋_GB2312" w:cs="仿宋_GB2312"/>
          <w:i w:val="0"/>
          <w:iCs w:val="0"/>
          <w:caps w:val="0"/>
          <w:spacing w:val="8"/>
          <w:sz w:val="32"/>
          <w:szCs w:val="32"/>
          <w:highlight w:val="none"/>
        </w:rPr>
        <w:t>给予一次性创业岗位开发补贴</w:t>
      </w:r>
      <w:r>
        <w:rPr>
          <w:rFonts w:hint="eastAsia" w:ascii="仿宋_GB2312" w:hAnsi="仿宋_GB2312" w:eastAsia="仿宋_GB2312" w:cs="仿宋_GB2312"/>
          <w:kern w:val="2"/>
          <w:sz w:val="32"/>
          <w:szCs w:val="32"/>
          <w:highlight w:val="none"/>
          <w:lang w:val="en-US" w:eastAsia="zh-CN" w:bidi="ar-SA"/>
        </w:rPr>
        <w:t>,在</w:t>
      </w:r>
      <w:r>
        <w:rPr>
          <w:rFonts w:hint="eastAsia" w:ascii="仿宋_GB2312" w:hAnsi="仿宋_GB2312" w:eastAsia="仿宋_GB2312" w:cs="仿宋_GB2312"/>
          <w:color w:val="000000"/>
          <w:kern w:val="2"/>
          <w:sz w:val="32"/>
          <w:szCs w:val="32"/>
          <w:highlight w:val="none"/>
        </w:rPr>
        <w:t>申请稳岗扩岗专项贷款</w:t>
      </w:r>
      <w:r>
        <w:rPr>
          <w:rFonts w:hint="eastAsia" w:ascii="仿宋_GB2312" w:hAnsi="仿宋_GB2312" w:eastAsia="仿宋_GB2312" w:cs="仿宋_GB2312"/>
          <w:color w:val="000000"/>
          <w:kern w:val="2"/>
          <w:sz w:val="32"/>
          <w:szCs w:val="32"/>
          <w:highlight w:val="none"/>
          <w:lang w:eastAsia="zh-CN"/>
        </w:rPr>
        <w:t>时</w:t>
      </w:r>
      <w:r>
        <w:rPr>
          <w:rFonts w:hint="eastAsia" w:ascii="仿宋_GB2312" w:hAnsi="仿宋_GB2312" w:eastAsia="仿宋_GB2312" w:cs="仿宋_GB2312"/>
          <w:kern w:val="2"/>
          <w:sz w:val="32"/>
          <w:szCs w:val="32"/>
          <w:highlight w:val="none"/>
          <w:lang w:val="en-US" w:eastAsia="zh-CN" w:bidi="ar-SA"/>
        </w:rPr>
        <w:t>给予优惠贷款利率。</w:t>
      </w:r>
      <w:r>
        <w:rPr>
          <w:rFonts w:hint="eastAsia" w:ascii="楷体_GB2312" w:hAnsi="楷体_GB2312" w:eastAsia="楷体_GB2312" w:cs="楷体_GB2312"/>
          <w:b w:val="0"/>
          <w:bCs w:val="0"/>
          <w:kern w:val="2"/>
          <w:sz w:val="32"/>
          <w:szCs w:val="32"/>
          <w:highlight w:val="none"/>
          <w:lang w:val="en-US" w:eastAsia="zh-CN" w:bidi="zh-CN"/>
        </w:rPr>
        <w:t>（牵头单位:市民政局、市人力资源社会保障局，参与单位：市财政局、</w:t>
      </w:r>
      <w:r>
        <w:rPr>
          <w:rFonts w:hint="eastAsia" w:ascii="楷体_GB2312" w:hAnsi="仿宋_GB2312" w:eastAsia="楷体_GB2312" w:cs="仿宋_GB2312"/>
          <w:color w:val="000000"/>
          <w:kern w:val="2"/>
          <w:sz w:val="32"/>
          <w:szCs w:val="32"/>
          <w:highlight w:val="none"/>
        </w:rPr>
        <w:t>中国银行烟台分行</w:t>
      </w:r>
      <w:r>
        <w:rPr>
          <w:rFonts w:hint="eastAsia" w:ascii="楷体_GB2312" w:hAnsi="楷体_GB2312" w:eastAsia="楷体_GB2312" w:cs="楷体_GB2312"/>
          <w:b w:val="0"/>
          <w:bCs w:val="0"/>
          <w:kern w:val="2"/>
          <w:sz w:val="32"/>
          <w:szCs w:val="32"/>
          <w:highlight w:val="none"/>
          <w:lang w:val="en-US" w:eastAsia="zh-CN" w:bidi="zh-CN"/>
        </w:rPr>
        <w:t>）</w:t>
      </w:r>
    </w:p>
    <w:p>
      <w:pPr>
        <w:keepNext w:val="0"/>
        <w:keepLines w:val="0"/>
        <w:pageBreakBefore w:val="0"/>
        <w:widowControl w:val="0"/>
        <w:suppressLineNumbers w:val="0"/>
        <w:kinsoku/>
        <w:wordWrap/>
        <w:overflowPunct/>
        <w:topLinePunct w:val="0"/>
        <w:autoSpaceDE w:val="0"/>
        <w:autoSpaceDN/>
        <w:bidi w:val="0"/>
        <w:adjustRightInd/>
        <w:snapToGrid/>
        <w:spacing w:line="560" w:lineRule="exact"/>
        <w:ind w:firstLine="642" w:firstLineChars="200"/>
        <w:jc w:val="both"/>
        <w:textAlignment w:val="auto"/>
        <w:rPr>
          <w:rFonts w:hint="eastAsia" w:ascii="楷体_GB2312" w:hAnsi="楷体_GB2312" w:eastAsia="楷体_GB2312" w:cs="楷体_GB2312"/>
          <w:b w:val="0"/>
          <w:bCs w:val="0"/>
          <w:kern w:val="2"/>
          <w:sz w:val="32"/>
          <w:szCs w:val="32"/>
          <w:highlight w:val="none"/>
          <w:lang w:val="en-US" w:eastAsia="zh-CN" w:bidi="zh-CN"/>
        </w:rPr>
      </w:pPr>
      <w:r>
        <w:rPr>
          <w:rFonts w:hint="eastAsia" w:ascii="仿宋_GB2312" w:hAnsi="仿宋_GB2312" w:eastAsia="仿宋_GB2312" w:cs="仿宋_GB2312"/>
          <w:b/>
          <w:bCs/>
          <w:kern w:val="2"/>
          <w:sz w:val="32"/>
          <w:szCs w:val="32"/>
          <w:highlight w:val="none"/>
          <w:lang w:val="en-US" w:eastAsia="zh-CN" w:bidi="ar-SA"/>
        </w:rPr>
        <w:t>4.选树优秀养老人才。</w:t>
      </w:r>
      <w:r>
        <w:rPr>
          <w:rFonts w:hint="eastAsia" w:ascii="仿宋_GB2312" w:hAnsi="仿宋_GB2312" w:eastAsia="仿宋_GB2312" w:cs="仿宋_GB2312"/>
          <w:kern w:val="2"/>
          <w:sz w:val="32"/>
          <w:szCs w:val="32"/>
          <w:highlight w:val="none"/>
          <w:lang w:val="en-US" w:eastAsia="zh-CN" w:bidi="ar-SA"/>
        </w:rPr>
        <w:t>定期举办养老护理员技能大赛，实现以赛促服、以赛培才，进一步提升养老护理员职业归属感和荣誉感。积极推荐养老服务领域优秀人才参与“齐鲁和谐使者”“齐鲁首席技师”“山东省技术技能大师”评选，将养老服务领域优秀人才纳入烟台市“双百计划”选拔范围。积极推荐优秀养老从业人员参选各级人大代表和政协委员、党代会代表、团代会代表，参评劳动模范、五一劳动奖章、三八红旗手、齐鲁最美职工等。</w:t>
      </w:r>
      <w:r>
        <w:rPr>
          <w:rFonts w:hint="eastAsia" w:ascii="楷体_GB2312" w:hAnsi="楷体_GB2312" w:eastAsia="楷体_GB2312" w:cs="楷体_GB2312"/>
          <w:b w:val="0"/>
          <w:bCs w:val="0"/>
          <w:kern w:val="2"/>
          <w:sz w:val="32"/>
          <w:szCs w:val="32"/>
          <w:highlight w:val="none"/>
          <w:lang w:val="en-US" w:eastAsia="zh-CN" w:bidi="zh-CN"/>
        </w:rPr>
        <w:t>（牵头单位:市民政局,参与单位:市委组织部、市人力资源社会保障局、市总工会）</w:t>
      </w:r>
    </w:p>
    <w:p>
      <w:pPr>
        <w:pStyle w:val="6"/>
        <w:keepNext w:val="0"/>
        <w:keepLines w:val="0"/>
        <w:pageBreakBefore w:val="0"/>
        <w:widowControl w:val="0"/>
        <w:numPr>
          <w:ilvl w:val="0"/>
          <w:numId w:val="0"/>
        </w:numPr>
        <w:kinsoku/>
        <w:wordWrap/>
        <w:overflowPunct/>
        <w:topLinePunct w:val="0"/>
        <w:autoSpaceDN/>
        <w:bidi w:val="0"/>
        <w:spacing w:line="56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（六）提升养老服务提质增效能力</w:t>
      </w:r>
    </w:p>
    <w:p>
      <w:pPr>
        <w:pStyle w:val="6"/>
        <w:keepNext w:val="0"/>
        <w:keepLines w:val="0"/>
        <w:pageBreakBefore w:val="0"/>
        <w:widowControl w:val="0"/>
        <w:numPr>
          <w:ilvl w:val="0"/>
          <w:numId w:val="0"/>
        </w:numPr>
        <w:kinsoku/>
        <w:wordWrap/>
        <w:overflowPunct/>
        <w:topLinePunct w:val="0"/>
        <w:autoSpaceDN/>
        <w:bidi w:val="0"/>
        <w:spacing w:line="560" w:lineRule="exact"/>
        <w:ind w:firstLine="642" w:firstLineChars="200"/>
        <w:jc w:val="both"/>
        <w:textAlignment w:val="auto"/>
        <w:rPr>
          <w:rFonts w:hint="eastAsia"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w:t>
      </w:r>
      <w:r>
        <w:rPr>
          <w:rFonts w:hint="eastAsia" w:cs="仿宋_GB2312"/>
          <w:b/>
          <w:bCs/>
          <w:kern w:val="2"/>
          <w:sz w:val="32"/>
          <w:szCs w:val="32"/>
          <w:highlight w:val="none"/>
          <w:lang w:val="en-US" w:eastAsia="zh-CN" w:bidi="ar-SA"/>
        </w:rPr>
        <w:t>完善养老服务设施准入和退出机制。</w:t>
      </w:r>
      <w:r>
        <w:rPr>
          <w:rFonts w:hint="eastAsia" w:cs="仿宋_GB2312"/>
          <w:kern w:val="2"/>
          <w:sz w:val="32"/>
          <w:szCs w:val="32"/>
          <w:highlight w:val="none"/>
          <w:lang w:val="en-US" w:eastAsia="zh-CN" w:bidi="ar-SA"/>
        </w:rPr>
        <w:t>社区老年人日间照料中心、农村幸福院、养老助餐点等养老服务设施要以老年人需求为导向规划建设，突出实事求是、因地制宜的原则，实施养老服务设施等级化管理，进一步完善准入和退出机制，确保建成一个、使用一个，避免建而不用、建而无用。</w:t>
      </w:r>
      <w:r>
        <w:rPr>
          <w:rFonts w:hint="eastAsia" w:ascii="楷体_GB2312" w:hAnsi="楷体_GB2312" w:eastAsia="楷体_GB2312" w:cs="楷体_GB2312"/>
          <w:b w:val="0"/>
          <w:bCs w:val="0"/>
          <w:kern w:val="2"/>
          <w:sz w:val="32"/>
          <w:szCs w:val="32"/>
          <w:highlight w:val="none"/>
          <w:lang w:val="en-US" w:eastAsia="zh-CN" w:bidi="zh-CN"/>
        </w:rPr>
        <w:t>（牵头单位:市民政局）</w:t>
      </w:r>
    </w:p>
    <w:p>
      <w:pPr>
        <w:pStyle w:val="6"/>
        <w:keepNext w:val="0"/>
        <w:keepLines w:val="0"/>
        <w:pageBreakBefore w:val="0"/>
        <w:widowControl w:val="0"/>
        <w:numPr>
          <w:ilvl w:val="0"/>
          <w:numId w:val="0"/>
        </w:numPr>
        <w:kinsoku/>
        <w:wordWrap/>
        <w:overflowPunct/>
        <w:topLinePunct w:val="0"/>
        <w:autoSpaceDN/>
        <w:bidi w:val="0"/>
        <w:spacing w:line="560" w:lineRule="exact"/>
        <w:ind w:firstLine="642" w:firstLineChars="200"/>
        <w:jc w:val="both"/>
        <w:textAlignment w:val="auto"/>
        <w:rPr>
          <w:rFonts w:hint="eastAsia" w:ascii="楷体_GB2312" w:hAnsi="楷体_GB2312" w:eastAsia="楷体_GB2312" w:cs="楷体_GB2312"/>
          <w:kern w:val="2"/>
          <w:sz w:val="32"/>
          <w:szCs w:val="32"/>
          <w:highlight w:val="none"/>
          <w:lang w:val="en-US" w:eastAsia="zh-CN" w:bidi="ar-SA"/>
        </w:rPr>
      </w:pPr>
      <w:r>
        <w:rPr>
          <w:rFonts w:hint="eastAsia" w:cs="仿宋_GB2312"/>
          <w:b/>
          <w:bCs/>
          <w:kern w:val="2"/>
          <w:sz w:val="32"/>
          <w:szCs w:val="32"/>
          <w:highlight w:val="none"/>
          <w:lang w:val="en-US" w:eastAsia="zh-CN" w:bidi="ar-SA"/>
        </w:rPr>
        <w:t>2.</w:t>
      </w:r>
      <w:r>
        <w:rPr>
          <w:rFonts w:hint="eastAsia" w:ascii="仿宋_GB2312" w:hAnsi="仿宋_GB2312" w:eastAsia="仿宋_GB2312" w:cs="仿宋_GB2312"/>
          <w:b/>
          <w:bCs/>
          <w:kern w:val="2"/>
          <w:sz w:val="32"/>
          <w:szCs w:val="32"/>
          <w:highlight w:val="none"/>
          <w:lang w:val="en-US" w:eastAsia="zh-CN" w:bidi="ar-SA"/>
        </w:rPr>
        <w:t>强化养老服务机构安全管理。</w:t>
      </w:r>
      <w:r>
        <w:rPr>
          <w:rFonts w:hint="eastAsia" w:ascii="仿宋_GB2312" w:hAnsi="仿宋_GB2312" w:eastAsia="仿宋_GB2312" w:cs="仿宋_GB2312"/>
          <w:kern w:val="2"/>
          <w:sz w:val="32"/>
          <w:szCs w:val="32"/>
          <w:highlight w:val="none"/>
          <w:lang w:val="en-US" w:eastAsia="zh-CN" w:bidi="ar-SA"/>
        </w:rPr>
        <w:t>建立健全养老服务机构安全管理机制，夯实县市区属地管理责任、主管部门行业监管责任、养老服务机构主体责任。提高养老服务机构人防、物防、技防水平，实现安全标准化管理，持续摸排养老服务机构安全生产风险隐患，对未达整治要求的，坚决取缔关停。采取以奖代补等方式，引导存量民办养老服务机构按照建设消防技术标准配置消防设施、器材。到2025年底，全市养老服务机构实现消防安全审验达标全覆盖。</w:t>
      </w:r>
      <w:r>
        <w:rPr>
          <w:rFonts w:hint="eastAsia" w:ascii="楷体_GB2312" w:hAnsi="楷体_GB2312" w:eastAsia="楷体_GB2312" w:cs="楷体_GB2312"/>
          <w:kern w:val="2"/>
          <w:sz w:val="32"/>
          <w:szCs w:val="32"/>
          <w:highlight w:val="none"/>
          <w:lang w:val="en-US" w:eastAsia="zh-CN" w:bidi="ar-SA"/>
        </w:rPr>
        <w:t>（牵头单位：市民政局、市应急管理局，参与单位：市自然资源和规划局、市住房城乡建设局、市消防救援支队）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val="0"/>
          <w:bCs w:val="0"/>
          <w:kern w:val="2"/>
          <w:sz w:val="32"/>
          <w:szCs w:val="32"/>
          <w:highlight w:val="none"/>
          <w:lang w:val="en-US" w:eastAsia="zh-CN" w:bidi="zh-CN"/>
        </w:rPr>
      </w:pPr>
      <w:r>
        <w:rPr>
          <w:rFonts w:hint="eastAsia" w:ascii="仿宋_GB2312" w:hAnsi="仿宋_GB2312" w:eastAsia="仿宋_GB2312" w:cs="仿宋_GB2312"/>
          <w:b/>
          <w:bCs/>
          <w:kern w:val="2"/>
          <w:sz w:val="32"/>
          <w:szCs w:val="32"/>
          <w:highlight w:val="none"/>
          <w:lang w:val="en-US" w:eastAsia="zh-CN" w:bidi="ar-SA"/>
        </w:rPr>
        <w:t>3.加强综合监管水平。</w:t>
      </w:r>
      <w:r>
        <w:rPr>
          <w:rFonts w:hint="eastAsia" w:ascii="仿宋_GB2312" w:hAnsi="仿宋_GB2312" w:eastAsia="仿宋_GB2312" w:cs="仿宋_GB2312"/>
          <w:sz w:val="32"/>
          <w:szCs w:val="32"/>
          <w:highlight w:val="none"/>
          <w:lang w:val="en-US" w:eastAsia="zh-CN"/>
        </w:rPr>
        <w:t>完善养老服务综合监管制度，加大对养老服务领域违法违规行为的查处惩戒力度。开展“双随机、一公开”“互联网+”等监管，加强部门联动综合执法，实现违法线索互联、监管标准互通、处理结果互认。健全养老领域非法集资诈骗常态化机制，坚决查处人身财产侵害、非法集资、欺诈销售等违法犯罪行为，加强侵害老年人合法权益典型案件警示宣传，维护老年人合法权益。建立养老服务机构“黑名单”动态调整机制，及时向社会公布，实行约谈提醒、挂牌督办制度，建立评价结果与项目、补助挂钩机制。加强养老服务和养老项目监管考核体系建设,提高资金使用效益。</w:t>
      </w:r>
      <w:r>
        <w:rPr>
          <w:rFonts w:hint="eastAsia" w:ascii="楷体_GB2312" w:hAnsi="楷体_GB2312" w:eastAsia="楷体_GB2312" w:cs="楷体_GB2312"/>
          <w:b w:val="0"/>
          <w:bCs w:val="0"/>
          <w:kern w:val="2"/>
          <w:sz w:val="32"/>
          <w:szCs w:val="32"/>
          <w:highlight w:val="none"/>
          <w:lang w:val="en-US" w:eastAsia="zh-CN" w:bidi="zh-CN"/>
        </w:rPr>
        <w:t>（牵头单位:市民政局,参与单位：市市场监管局、市公安局、市地方金融监管局、国家金融监管局烟台监管分局）</w:t>
      </w:r>
    </w:p>
    <w:p>
      <w:pPr>
        <w:keepNext w:val="0"/>
        <w:keepLines w:val="0"/>
        <w:pageBreakBefore w:val="0"/>
        <w:widowControl w:val="0"/>
        <w:numPr>
          <w:ilvl w:val="0"/>
          <w:numId w:val="0"/>
        </w:numPr>
        <w:kinsoku/>
        <w:wordWrap/>
        <w:overflowPunct/>
        <w:topLinePunct w:val="0"/>
        <w:autoSpaceDN/>
        <w:bidi w:val="0"/>
        <w:spacing w:line="560" w:lineRule="exact"/>
        <w:ind w:firstLine="642" w:firstLineChars="200"/>
        <w:textAlignment w:val="auto"/>
        <w:rPr>
          <w:rFonts w:hint="eastAsia" w:ascii="楷体_GB2312" w:hAnsi="楷体_GB2312" w:eastAsia="楷体_GB2312" w:cs="楷体_GB2312"/>
          <w:b w:val="0"/>
          <w:bCs w:val="0"/>
          <w:kern w:val="2"/>
          <w:sz w:val="32"/>
          <w:szCs w:val="32"/>
          <w:highlight w:val="none"/>
          <w:lang w:val="en-US" w:eastAsia="zh-CN" w:bidi="zh-CN"/>
        </w:rPr>
      </w:pPr>
      <w:r>
        <w:rPr>
          <w:rFonts w:hint="eastAsia" w:ascii="仿宋_GB2312" w:hAnsi="仿宋_GB2312" w:eastAsia="仿宋_GB2312" w:cs="仿宋_GB2312"/>
          <w:b/>
          <w:bCs/>
          <w:kern w:val="2"/>
          <w:sz w:val="32"/>
          <w:szCs w:val="32"/>
          <w:highlight w:val="none"/>
          <w:lang w:val="en-US" w:eastAsia="zh-CN" w:bidi="ar-SA"/>
        </w:rPr>
        <w:t>4.提升服务标准化水平。</w:t>
      </w:r>
      <w:r>
        <w:rPr>
          <w:rFonts w:hint="eastAsia" w:ascii="仿宋_GB2312" w:hAnsi="仿宋_GB2312" w:eastAsia="仿宋_GB2312" w:cs="仿宋_GB2312"/>
          <w:sz w:val="32"/>
          <w:szCs w:val="32"/>
          <w:highlight w:val="none"/>
          <w:lang w:val="en-US" w:eastAsia="zh-CN"/>
        </w:rPr>
        <w:t>健全养老服务标准体系,强化标准宣贯实施，全面推行养老机构等级评定制度，到2030年底，通过等级评定的养老机构占比超过80%。在养老服务、文化和旅游、老年用品、适老化改造、智能技术应用等领域开展标准化试点。用好各领域质量控制和技术评价实验室，建设高水平、专业化第三方质量测试平台，开展质量测评、验证、认证工作，研制出台一批养老服务地方标准。</w:t>
      </w:r>
      <w:r>
        <w:rPr>
          <w:rFonts w:hint="eastAsia" w:ascii="楷体_GB2312" w:hAnsi="楷体_GB2312" w:eastAsia="楷体_GB2312" w:cs="楷体_GB2312"/>
          <w:b w:val="0"/>
          <w:bCs w:val="0"/>
          <w:kern w:val="2"/>
          <w:sz w:val="32"/>
          <w:szCs w:val="32"/>
          <w:highlight w:val="none"/>
          <w:lang w:val="en-US" w:eastAsia="zh-CN" w:bidi="zh-CN"/>
        </w:rPr>
        <w:t>（牵头单位:市市场监管局、市民政局）</w:t>
      </w:r>
    </w:p>
    <w:p>
      <w:pPr>
        <w:pStyle w:val="6"/>
        <w:keepNext w:val="0"/>
        <w:keepLines w:val="0"/>
        <w:pageBreakBefore w:val="0"/>
        <w:widowControl w:val="0"/>
        <w:kinsoku/>
        <w:wordWrap/>
        <w:overflowPunct/>
        <w:topLinePunct w:val="0"/>
        <w:autoSpaceDN/>
        <w:bidi w:val="0"/>
        <w:spacing w:line="560" w:lineRule="exact"/>
        <w:ind w:firstLine="642"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cs="仿宋_GB2312"/>
          <w:b/>
          <w:bCs/>
          <w:kern w:val="2"/>
          <w:sz w:val="32"/>
          <w:szCs w:val="32"/>
          <w:highlight w:val="none"/>
          <w:lang w:val="en-US" w:eastAsia="zh-CN" w:bidi="ar-SA"/>
        </w:rPr>
        <w:t>5</w:t>
      </w:r>
      <w:r>
        <w:rPr>
          <w:rFonts w:hint="eastAsia" w:ascii="仿宋_GB2312" w:hAnsi="仿宋_GB2312" w:eastAsia="仿宋_GB2312" w:cs="仿宋_GB2312"/>
          <w:b/>
          <w:bCs/>
          <w:kern w:val="2"/>
          <w:sz w:val="32"/>
          <w:szCs w:val="32"/>
          <w:highlight w:val="none"/>
          <w:lang w:val="en-US" w:eastAsia="zh-CN" w:bidi="ar-SA"/>
        </w:rPr>
        <w:t>.</w:t>
      </w:r>
      <w:r>
        <w:rPr>
          <w:rFonts w:hint="eastAsia" w:cs="仿宋_GB2312"/>
          <w:b/>
          <w:bCs/>
          <w:kern w:val="2"/>
          <w:sz w:val="32"/>
          <w:szCs w:val="32"/>
          <w:highlight w:val="none"/>
          <w:lang w:val="en-US" w:eastAsia="zh-CN" w:bidi="ar-SA"/>
        </w:rPr>
        <w:t>打造</w:t>
      </w:r>
      <w:r>
        <w:rPr>
          <w:rFonts w:hint="eastAsia" w:ascii="仿宋_GB2312" w:hAnsi="仿宋_GB2312" w:eastAsia="仿宋_GB2312" w:cs="仿宋_GB2312"/>
          <w:b/>
          <w:bCs/>
          <w:kern w:val="2"/>
          <w:sz w:val="32"/>
          <w:szCs w:val="32"/>
          <w:highlight w:val="none"/>
          <w:lang w:val="en-US" w:eastAsia="zh-CN" w:bidi="ar-SA"/>
        </w:rPr>
        <w:t>“智慧康养”新业态。</w:t>
      </w:r>
      <w:r>
        <w:rPr>
          <w:rFonts w:hint="eastAsia" w:cs="仿宋_GB2312"/>
          <w:sz w:val="32"/>
          <w:szCs w:val="32"/>
          <w:highlight w:val="none"/>
          <w:lang w:val="en-US" w:eastAsia="zh-CN"/>
        </w:rPr>
        <w:t>推动</w:t>
      </w:r>
      <w:r>
        <w:rPr>
          <w:rFonts w:hint="eastAsia" w:ascii="仿宋_GB2312" w:hAnsi="仿宋_GB2312" w:eastAsia="仿宋_GB2312" w:cs="仿宋_GB2312"/>
          <w:sz w:val="32"/>
          <w:szCs w:val="32"/>
          <w:highlight w:val="none"/>
          <w:lang w:val="en-US" w:eastAsia="zh-CN"/>
        </w:rPr>
        <w:t>智慧养老院建设,</w:t>
      </w:r>
      <w:r>
        <w:rPr>
          <w:rFonts w:hint="eastAsia" w:ascii="仿宋_GB2312" w:hAnsi="仿宋_GB2312" w:eastAsia="仿宋_GB2312" w:cs="仿宋_GB2312"/>
          <w:kern w:val="2"/>
          <w:sz w:val="32"/>
          <w:szCs w:val="32"/>
          <w:highlight w:val="none"/>
          <w:lang w:val="en-US" w:eastAsia="zh-CN" w:bidi="ar-SA"/>
        </w:rPr>
        <w:t>根据居家、社区、机构养老服务不同需求，形成一批兼具实用性、创新性和推广性的智慧养老服务案例场景，各区市建立标准规范的智慧养老院比例不低于30%。推动“智慧消防”“智慧燃气”“互联网＋明厨亮灶”覆盖率达到100%。民政部门公开养老服务相关信息，在门户网站、APP应用、小程序中嵌入“数字养老地图”，方便老年人选择适宜服务。</w:t>
      </w:r>
      <w:r>
        <w:rPr>
          <w:rFonts w:hint="eastAsia" w:ascii="楷体_GB2312" w:hAnsi="楷体_GB2312" w:eastAsia="楷体_GB2312" w:cs="楷体_GB2312"/>
          <w:b w:val="0"/>
          <w:bCs w:val="0"/>
          <w:sz w:val="32"/>
          <w:szCs w:val="32"/>
          <w:highlight w:val="none"/>
          <w:lang w:val="en-US" w:eastAsia="zh-CN"/>
        </w:rPr>
        <w:t>（牵头单位：市发展改革委、市工信局、市民政局，参与单位：市商务局、市卫生健康委、市市场监管局、市医保局）</w:t>
      </w:r>
    </w:p>
    <w:p>
      <w:pPr>
        <w:pStyle w:val="6"/>
        <w:keepNext w:val="0"/>
        <w:keepLines w:val="0"/>
        <w:pageBreakBefore w:val="0"/>
        <w:widowControl w:val="0"/>
        <w:numPr>
          <w:ilvl w:val="0"/>
          <w:numId w:val="0"/>
        </w:numPr>
        <w:kinsoku/>
        <w:wordWrap/>
        <w:overflowPunct/>
        <w:topLinePunct w:val="0"/>
        <w:autoSpaceDN/>
        <w:bidi w:val="0"/>
        <w:spacing w:line="56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（七）提升金融信贷支持能力</w:t>
      </w:r>
    </w:p>
    <w:p>
      <w:pPr>
        <w:keepNext w:val="0"/>
        <w:keepLines w:val="0"/>
        <w:pageBreakBefore w:val="0"/>
        <w:numPr>
          <w:ilvl w:val="0"/>
          <w:numId w:val="0"/>
        </w:numPr>
        <w:kinsoku/>
        <w:wordWrap/>
        <w:overflowPunct/>
        <w:topLinePunct w:val="0"/>
        <w:autoSpaceDN/>
        <w:bidi w:val="0"/>
        <w:spacing w:line="560" w:lineRule="exact"/>
        <w:ind w:firstLine="642" w:firstLineChars="200"/>
        <w:rPr>
          <w:rFonts w:hint="eastAsia" w:ascii="楷体_GB2312" w:hAnsi="楷体_GB2312" w:eastAsia="楷体_GB2312" w:cs="楷体_GB2312"/>
          <w:b w:val="0"/>
          <w:bCs w:val="0"/>
          <w:kern w:val="2"/>
          <w:sz w:val="32"/>
          <w:szCs w:val="32"/>
          <w:highlight w:val="none"/>
          <w:lang w:val="en-US" w:eastAsia="zh-CN" w:bidi="zh-CN"/>
        </w:rPr>
      </w:pPr>
      <w:r>
        <w:rPr>
          <w:rFonts w:hint="eastAsia" w:ascii="仿宋_GB2312" w:hAnsi="仿宋_GB2312" w:eastAsia="仿宋_GB2312" w:cs="仿宋_GB2312"/>
          <w:b/>
          <w:bCs/>
          <w:kern w:val="2"/>
          <w:sz w:val="32"/>
          <w:szCs w:val="32"/>
          <w:highlight w:val="none"/>
          <w:lang w:val="en-US" w:eastAsia="zh-CN" w:bidi="ar-SA"/>
        </w:rPr>
        <w:t>1.优化适老金融服务。</w:t>
      </w:r>
      <w:r>
        <w:rPr>
          <w:rFonts w:hint="eastAsia" w:ascii="仿宋_GB2312" w:hAnsi="楷体_GB2312" w:eastAsia="仿宋_GB2312" w:cs="楷体_GB2312"/>
          <w:color w:val="000000"/>
          <w:sz w:val="32"/>
          <w:szCs w:val="32"/>
          <w:highlight w:val="none"/>
          <w:lang w:val="en-US" w:eastAsia="zh-CN"/>
        </w:rPr>
        <w:t>突出安全性、稳健性和简便性特点，</w:t>
      </w:r>
      <w:r>
        <w:rPr>
          <w:rFonts w:hint="eastAsia" w:ascii="仿宋_GB2312" w:hAnsi="楷体_GB2312" w:eastAsia="仿宋_GB2312" w:cs="楷体_GB2312"/>
          <w:color w:val="000000"/>
          <w:sz w:val="32"/>
          <w:szCs w:val="32"/>
          <w:highlight w:val="none"/>
          <w:lang w:eastAsia="zh-CN"/>
        </w:rPr>
        <w:t>进一步规范并引导银行、保险、信托、基金等金融机构开发适合老年人的个人养老金融产品，探索住房反向抵押贷款、“银发理财”等专属产品。鼓励金融营业网点开展“适老化”改造，全方位增强网点服务效能，提升业务处理效率和客户体验</w:t>
      </w:r>
      <w:r>
        <w:rPr>
          <w:rFonts w:hint="eastAsia" w:ascii="仿宋_GB2312" w:hAnsi="楷体_GB2312" w:eastAsia="仿宋_GB2312" w:cs="楷体_GB2312"/>
          <w:color w:val="000000"/>
          <w:sz w:val="32"/>
          <w:szCs w:val="32"/>
          <w:highlight w:val="none"/>
          <w:lang w:val="en-US" w:eastAsia="zh-CN"/>
        </w:rPr>
        <w:t>。</w:t>
      </w:r>
      <w:r>
        <w:rPr>
          <w:rFonts w:hint="eastAsia" w:ascii="仿宋_GB2312" w:hAnsi="楷体_GB2312" w:eastAsia="仿宋_GB2312" w:cs="楷体_GB2312"/>
          <w:color w:val="000000"/>
          <w:sz w:val="32"/>
          <w:szCs w:val="32"/>
          <w:highlight w:val="none"/>
          <w:lang w:eastAsia="zh-CN"/>
        </w:rPr>
        <w:t>开发适合老年人的专业化商业保险产品，优先向失能、失独老人等特殊群体提供保险服务。</w:t>
      </w:r>
      <w:r>
        <w:rPr>
          <w:rFonts w:hint="eastAsia" w:ascii="仿宋_GB2312" w:hAnsi="仿宋_GB2312" w:eastAsia="仿宋_GB2312" w:cs="仿宋_GB2312"/>
          <w:kern w:val="2"/>
          <w:sz w:val="32"/>
          <w:szCs w:val="32"/>
          <w:highlight w:val="none"/>
          <w:lang w:val="en-US" w:eastAsia="zh-CN" w:bidi="ar-SA"/>
        </w:rPr>
        <w:t>引导商业保险公司探索开发普惠型商业长护险，鼓励老年人投保健康保险、意外伤害险等人身保险产品。</w:t>
      </w:r>
      <w:r>
        <w:rPr>
          <w:rFonts w:hint="eastAsia" w:ascii="楷体_GB2312" w:hAnsi="楷体_GB2312" w:eastAsia="楷体_GB2312" w:cs="楷体_GB2312"/>
          <w:b w:val="0"/>
          <w:bCs w:val="0"/>
          <w:kern w:val="2"/>
          <w:sz w:val="32"/>
          <w:szCs w:val="32"/>
          <w:highlight w:val="none"/>
          <w:lang w:val="en-US" w:eastAsia="zh-CN" w:bidi="zh-CN"/>
        </w:rPr>
        <w:t>（牵头单位：</w:t>
      </w:r>
      <w:r>
        <w:rPr>
          <w:rFonts w:hint="eastAsia" w:ascii="楷体_GB2312" w:hAnsi="楷体_GB2312" w:eastAsia="楷体_GB2312" w:cs="楷体_GB2312"/>
          <w:b w:val="0"/>
          <w:bCs w:val="0"/>
          <w:sz w:val="32"/>
          <w:szCs w:val="32"/>
          <w:highlight w:val="none"/>
          <w:lang w:val="en-US" w:eastAsia="zh-CN"/>
        </w:rPr>
        <w:t>市发展改革委</w:t>
      </w:r>
      <w:r>
        <w:rPr>
          <w:rFonts w:hint="eastAsia" w:ascii="楷体_GB2312" w:hAnsi="楷体_GB2312" w:eastAsia="楷体_GB2312" w:cs="楷体_GB2312"/>
          <w:b w:val="0"/>
          <w:bCs w:val="0"/>
          <w:kern w:val="2"/>
          <w:sz w:val="32"/>
          <w:szCs w:val="32"/>
          <w:highlight w:val="none"/>
          <w:lang w:val="en-US" w:eastAsia="zh-CN" w:bidi="zh-CN"/>
        </w:rPr>
        <w:t>、国家金融监督管理总局烟台监管分局、市地方金融管理局，参与单位：市民政局、市医保局）</w:t>
      </w:r>
    </w:p>
    <w:p>
      <w:pPr>
        <w:keepNext w:val="0"/>
        <w:keepLines w:val="0"/>
        <w:pageBreakBefore w:val="0"/>
        <w:numPr>
          <w:ilvl w:val="0"/>
          <w:numId w:val="0"/>
        </w:numPr>
        <w:kinsoku/>
        <w:wordWrap/>
        <w:overflowPunct/>
        <w:topLinePunct w:val="0"/>
        <w:autoSpaceDN/>
        <w:bidi w:val="0"/>
        <w:spacing w:line="56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2"/>
          <w:sz w:val="32"/>
          <w:szCs w:val="32"/>
          <w:highlight w:val="none"/>
          <w:lang w:val="en-US" w:eastAsia="zh-CN" w:bidi="ar-SA"/>
        </w:rPr>
        <w:t>2.强化信贷融资支持。</w:t>
      </w:r>
      <w:r>
        <w:rPr>
          <w:rFonts w:hint="eastAsia" w:ascii="仿宋_GB2312" w:hAnsi="仿宋_GB2312" w:eastAsia="仿宋_GB2312" w:cs="仿宋_GB2312"/>
          <w:sz w:val="32"/>
          <w:szCs w:val="32"/>
          <w:highlight w:val="none"/>
        </w:rPr>
        <w:t>引导政府性融资担保机构按照市场化原则为养老机构提供融资增信支持。支持金融机构创新养老金融产品，开发养老社区/养老机构建设改造贷款、智慧健康养老示范基地贷款、适老化改造贷款等特色信贷产品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鼓励符合条件的养老服务企业发债融资，用于投资回收期较长的养老设施项目建设。支持符合条件的养老服务企业挂牌上市。</w:t>
      </w:r>
      <w:r>
        <w:rPr>
          <w:rFonts w:hint="eastAsia" w:ascii="楷体_GB2312" w:hAnsi="楷体_GB2312" w:eastAsia="楷体_GB2312" w:cs="楷体_GB2312"/>
          <w:b w:val="0"/>
          <w:bCs w:val="0"/>
          <w:kern w:val="2"/>
          <w:sz w:val="32"/>
          <w:szCs w:val="32"/>
          <w:highlight w:val="none"/>
          <w:lang w:val="en-US" w:eastAsia="zh-CN" w:bidi="zh-CN"/>
        </w:rPr>
        <w:t>（牵头单位：国家金融监督管理总局烟台监管分局、市地方金融管理局，参与单位：市民政局）</w:t>
      </w:r>
    </w:p>
    <w:p>
      <w:pPr>
        <w:keepNext w:val="0"/>
        <w:keepLines w:val="0"/>
        <w:pageBreakBefore w:val="0"/>
        <w:widowControl w:val="0"/>
        <w:kinsoku/>
        <w:wordWrap/>
        <w:overflowPunct/>
        <w:topLinePunct w:val="0"/>
        <w:autoSpaceDN/>
        <w:bidi w:val="0"/>
        <w:spacing w:line="560" w:lineRule="exact"/>
        <w:ind w:firstLine="642" w:firstLineChars="200"/>
        <w:textAlignment w:val="auto"/>
        <w:rPr>
          <w:rFonts w:hint="eastAsia" w:ascii="楷体_GB2312" w:hAnsi="楷体_GB2312" w:eastAsia="楷体_GB2312" w:cs="楷体_GB2312"/>
          <w:b w:val="0"/>
          <w:bCs w:val="0"/>
          <w:kern w:val="2"/>
          <w:sz w:val="32"/>
          <w:szCs w:val="32"/>
          <w:highlight w:val="none"/>
          <w:lang w:val="en-US" w:eastAsia="zh-CN" w:bidi="zh-CN"/>
        </w:rPr>
      </w:pPr>
      <w:r>
        <w:rPr>
          <w:rFonts w:hint="eastAsia" w:ascii="仿宋_GB2312" w:hAnsi="仿宋_GB2312" w:eastAsia="仿宋_GB2312" w:cs="仿宋_GB2312"/>
          <w:b/>
          <w:bCs/>
          <w:kern w:val="2"/>
          <w:sz w:val="32"/>
          <w:szCs w:val="32"/>
          <w:highlight w:val="none"/>
          <w:lang w:val="en-US" w:eastAsia="zh-CN" w:bidi="ar-SA"/>
        </w:rPr>
        <w:t>3.创新金融赋能方式。</w:t>
      </w:r>
      <w:r>
        <w:rPr>
          <w:rFonts w:hint="eastAsia" w:ascii="仿宋_GB2312" w:hAnsi="仿宋_GB2312" w:eastAsia="仿宋_GB2312" w:cs="仿宋_GB2312"/>
          <w:sz w:val="32"/>
          <w:szCs w:val="32"/>
          <w:highlight w:val="none"/>
        </w:rPr>
        <w:t>鼓励商业保险机构举办养老服务组织或参与建设和运营。</w:t>
      </w:r>
      <w:r>
        <w:rPr>
          <w:rFonts w:hint="eastAsia" w:ascii="仿宋_GB2312" w:hAnsi="楷体_GB2312" w:eastAsia="仿宋_GB2312" w:cs="楷体_GB2312"/>
          <w:color w:val="000000"/>
          <w:sz w:val="32"/>
          <w:szCs w:val="32"/>
          <w:highlight w:val="none"/>
          <w:lang w:eastAsia="zh-CN"/>
        </w:rPr>
        <w:t>鼓励金融机构根据养老产业企业生命周期及经营特点，将政策性养老产业金融工具向筹建期、开业初创期阶段的中小企业进行倾斜。支持金融机构针对养老机构轻资产运营方式,加大信用贷款和股权融资等非固定资产抵押担保方式,对特殊养老服务项目采取循环贷款、分期分段式等多种灵活还款方式，促进养老机构持续运营,推动产业规模化发展。</w:t>
      </w:r>
      <w:r>
        <w:rPr>
          <w:rFonts w:hint="eastAsia" w:ascii="楷体_GB2312" w:hAnsi="楷体_GB2312" w:eastAsia="楷体_GB2312" w:cs="楷体_GB2312"/>
          <w:b w:val="0"/>
          <w:bCs w:val="0"/>
          <w:kern w:val="2"/>
          <w:sz w:val="32"/>
          <w:szCs w:val="32"/>
          <w:highlight w:val="none"/>
          <w:lang w:val="en-US" w:eastAsia="zh-CN" w:bidi="zh-CN"/>
        </w:rPr>
        <w:t>（牵头单位：国家金融监督管理总局烟台监管分局、市地方金融管理局，参与单位：市民政局）</w:t>
      </w:r>
    </w:p>
    <w:p>
      <w:pPr>
        <w:keepNext w:val="0"/>
        <w:keepLines w:val="0"/>
        <w:pageBreakBefore w:val="0"/>
        <w:widowControl w:val="0"/>
        <w:kinsoku/>
        <w:wordWrap/>
        <w:overflowPunct/>
        <w:topLinePunct w:val="0"/>
        <w:autoSpaceDN/>
        <w:bidi w:val="0"/>
        <w:spacing w:line="560" w:lineRule="exact"/>
        <w:ind w:firstLine="642" w:firstLineChars="200"/>
        <w:textAlignment w:val="auto"/>
        <w:rPr>
          <w:rFonts w:hint="eastAsia" w:ascii="楷体_GB2312" w:hAnsi="楷体_GB2312" w:eastAsia="楷体_GB2312" w:cs="楷体_GB2312"/>
          <w:b w:val="0"/>
          <w:bCs w:val="0"/>
          <w:kern w:val="2"/>
          <w:sz w:val="32"/>
          <w:szCs w:val="32"/>
          <w:highlight w:val="none"/>
          <w:lang w:val="en-US" w:eastAsia="zh-CN" w:bidi="zh-CN"/>
        </w:rPr>
      </w:pPr>
      <w:r>
        <w:rPr>
          <w:rFonts w:hint="eastAsia" w:ascii="仿宋_GB2312" w:hAnsi="仿宋_GB2312" w:eastAsia="仿宋_GB2312" w:cs="仿宋_GB2312"/>
          <w:b/>
          <w:bCs/>
          <w:kern w:val="2"/>
          <w:sz w:val="32"/>
          <w:szCs w:val="32"/>
          <w:highlight w:val="none"/>
          <w:lang w:val="en-US" w:eastAsia="zh-CN" w:bidi="ar-SA"/>
        </w:rPr>
        <w:t>4.加大金融监管力度。</w:t>
      </w:r>
      <w:r>
        <w:rPr>
          <w:rFonts w:hint="eastAsia" w:ascii="仿宋_GB2312" w:hAnsi="楷体_GB2312" w:eastAsia="仿宋_GB2312" w:cs="楷体_GB2312"/>
          <w:color w:val="000000"/>
          <w:sz w:val="32"/>
          <w:szCs w:val="32"/>
          <w:highlight w:val="none"/>
          <w:lang w:eastAsia="zh-CN"/>
        </w:rPr>
        <w:t>建立健全跨部门养老机构预收费监管工作机制，防范化解非法集资等非法金融活动风险，到</w:t>
      </w:r>
      <w:r>
        <w:rPr>
          <w:rFonts w:hint="eastAsia" w:ascii="仿宋_GB2312" w:hAnsi="楷体_GB2312" w:eastAsia="仿宋_GB2312" w:cs="楷体_GB2312"/>
          <w:color w:val="000000"/>
          <w:sz w:val="32"/>
          <w:szCs w:val="32"/>
          <w:highlight w:val="none"/>
          <w:lang w:val="en-US" w:eastAsia="zh-CN"/>
        </w:rPr>
        <w:t>2025年底，实现</w:t>
      </w:r>
      <w:r>
        <w:rPr>
          <w:rFonts w:hint="eastAsia" w:ascii="仿宋_GB2312" w:hAnsi="楷体_GB2312" w:eastAsia="仿宋_GB2312" w:cs="楷体_GB2312"/>
          <w:color w:val="000000"/>
          <w:sz w:val="32"/>
          <w:szCs w:val="32"/>
          <w:highlight w:val="none"/>
          <w:lang w:eastAsia="zh-CN"/>
        </w:rPr>
        <w:t>养老服务市场更加公平有序，非法集资风险隐患有效减少，老年人对养老服务消费的满意度稳步提高。</w:t>
      </w:r>
      <w:r>
        <w:rPr>
          <w:rFonts w:hint="eastAsia" w:ascii="仿宋_GB2312" w:hAnsi="仿宋_GB2312" w:eastAsia="仿宋_GB2312" w:cs="仿宋_GB2312"/>
          <w:kern w:val="2"/>
          <w:sz w:val="32"/>
          <w:szCs w:val="32"/>
          <w:highlight w:val="none"/>
          <w:lang w:val="en-US" w:eastAsia="zh-CN" w:bidi="ar-SA"/>
        </w:rPr>
        <w:t>采</w:t>
      </w:r>
      <w:r>
        <w:rPr>
          <w:rFonts w:hint="eastAsia" w:ascii="仿宋_GB2312" w:hAnsi="楷体_GB2312" w:eastAsia="仿宋_GB2312" w:cs="楷体_GB2312"/>
          <w:color w:val="000000"/>
          <w:sz w:val="32"/>
          <w:szCs w:val="32"/>
          <w:highlight w:val="none"/>
          <w:lang w:eastAsia="zh-CN"/>
        </w:rPr>
        <w:t>取建立养老产业企业白名单/黑名单、发展第三方征信等多种方式,为融资企业增信,引导信贷资金向中小企业倾斜。对经营情况良好、经营模式有前景的中小、民营养老产业企业由市财政给予融资担保降费奖补。</w:t>
      </w:r>
      <w:r>
        <w:rPr>
          <w:rFonts w:hint="eastAsia" w:ascii="楷体_GB2312" w:hAnsi="楷体_GB2312" w:eastAsia="楷体_GB2312" w:cs="楷体_GB2312"/>
          <w:b w:val="0"/>
          <w:bCs w:val="0"/>
          <w:kern w:val="2"/>
          <w:sz w:val="32"/>
          <w:szCs w:val="32"/>
          <w:highlight w:val="none"/>
          <w:lang w:val="en-US" w:eastAsia="zh-CN" w:bidi="zh-CN"/>
        </w:rPr>
        <w:t>（牵头单位：国家金融监督管理总局烟台监管分局、市地方金融管理局，参与单位：市财政局、市民政局）</w:t>
      </w:r>
    </w:p>
    <w:p>
      <w:pPr>
        <w:pStyle w:val="6"/>
        <w:keepNext w:val="0"/>
        <w:keepLines w:val="0"/>
        <w:pageBreakBefore w:val="0"/>
        <w:widowControl w:val="0"/>
        <w:numPr>
          <w:ilvl w:val="0"/>
          <w:numId w:val="0"/>
        </w:numPr>
        <w:kinsoku/>
        <w:wordWrap/>
        <w:overflowPunct/>
        <w:topLinePunct w:val="0"/>
        <w:autoSpaceDN/>
        <w:bidi w:val="0"/>
        <w:spacing w:line="560" w:lineRule="exact"/>
        <w:ind w:firstLine="640" w:firstLineChars="200"/>
        <w:jc w:val="both"/>
        <w:textAlignment w:val="auto"/>
        <w:rPr>
          <w:rFonts w:hint="eastAsia" w:ascii="楷体_GB2312" w:hAnsi="楷体_GB2312" w:eastAsia="楷体_GB2312" w:cs="楷体_GB2312"/>
          <w:b w:val="0"/>
          <w:bCs w:val="0"/>
          <w:kern w:val="2"/>
          <w:sz w:val="32"/>
          <w:szCs w:val="32"/>
          <w:highlight w:val="none"/>
          <w:lang w:val="en-US" w:eastAsia="zh-CN" w:bidi="zh-CN"/>
        </w:rPr>
      </w:pPr>
      <w:r>
        <w:rPr>
          <w:rFonts w:hint="eastAsia" w:ascii="楷体_GB2312" w:hAnsi="楷体_GB2312" w:eastAsia="楷体_GB2312" w:cs="楷体_GB2312"/>
          <w:b w:val="0"/>
          <w:bCs w:val="0"/>
          <w:sz w:val="32"/>
          <w:szCs w:val="32"/>
          <w:highlight w:val="none"/>
          <w:lang w:val="en-US" w:eastAsia="zh-CN"/>
        </w:rPr>
        <w:t>（八）提升养老产业优化升级能力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val="0"/>
          <w:bCs w:val="0"/>
          <w:kern w:val="2"/>
          <w:sz w:val="32"/>
          <w:szCs w:val="32"/>
          <w:highlight w:val="none"/>
          <w:lang w:val="en-US" w:eastAsia="zh-CN" w:bidi="zh-CN"/>
        </w:rPr>
      </w:pPr>
      <w:r>
        <w:rPr>
          <w:rFonts w:hint="eastAsia" w:ascii="仿宋_GB2312" w:hAnsi="仿宋_GB2312" w:eastAsia="仿宋_GB2312" w:cs="仿宋_GB2312"/>
          <w:b/>
          <w:bCs/>
          <w:kern w:val="2"/>
          <w:sz w:val="32"/>
          <w:szCs w:val="32"/>
          <w:highlight w:val="none"/>
          <w:lang w:val="en-US" w:eastAsia="zh-CN" w:bidi="ar-SA"/>
        </w:rPr>
        <w:t>1.优化营商环境。</w:t>
      </w:r>
      <w:r>
        <w:rPr>
          <w:rFonts w:hint="eastAsia" w:ascii="仿宋_GB2312" w:hAnsi="仿宋_GB2312" w:eastAsia="仿宋_GB2312" w:cs="仿宋_GB2312"/>
          <w:color w:val="auto"/>
          <w:kern w:val="0"/>
          <w:sz w:val="32"/>
          <w:szCs w:val="32"/>
          <w:highlight w:val="none"/>
          <w:lang w:val="en-US" w:eastAsia="zh-CN" w:bidi="zh-CN"/>
        </w:rPr>
        <w:t>简化养老机构申办手续，推进“马上办、网上办、就近办”，调动社会力量参与养老服务积极性。鼓励引导民营企业投资养老服务，在项目规划、土地保障、财政支持、税费减免、购买服务等方面落实相关政策。支持民营养老服务企业发展，推动形成一批具有较强竞争力的养老服务品牌。培育发展以普惠型养老服务为主责主业的国有企业，鼓励引导国有企业布局养老产业，或提供养老服务场地设施，在考核中予以加分。</w:t>
      </w:r>
      <w:r>
        <w:rPr>
          <w:rFonts w:hint="eastAsia" w:ascii="楷体_GB2312" w:hAnsi="楷体_GB2312" w:eastAsia="楷体_GB2312" w:cs="楷体_GB2312"/>
          <w:b w:val="0"/>
          <w:bCs w:val="0"/>
          <w:kern w:val="2"/>
          <w:sz w:val="32"/>
          <w:szCs w:val="32"/>
          <w:highlight w:val="none"/>
          <w:lang w:val="en-US" w:eastAsia="zh-CN" w:bidi="zh-CN"/>
        </w:rPr>
        <w:t>（牵头单位：市民政局，参与单位：市国资委、</w:t>
      </w:r>
      <w:r>
        <w:rPr>
          <w:rFonts w:hint="eastAsia" w:ascii="楷体_GB2312" w:hAnsi="楷体_GB2312" w:eastAsia="楷体_GB2312" w:cs="楷体_GB2312"/>
          <w:b w:val="0"/>
          <w:bCs w:val="0"/>
          <w:sz w:val="32"/>
          <w:szCs w:val="32"/>
          <w:highlight w:val="none"/>
          <w:lang w:val="en-US" w:eastAsia="zh-CN"/>
        </w:rPr>
        <w:t>市发展改革委</w:t>
      </w:r>
      <w:r>
        <w:rPr>
          <w:rFonts w:hint="eastAsia" w:ascii="楷体_GB2312" w:hAnsi="楷体_GB2312" w:eastAsia="楷体_GB2312" w:cs="楷体_GB2312"/>
          <w:b w:val="0"/>
          <w:bCs w:val="0"/>
          <w:kern w:val="2"/>
          <w:sz w:val="32"/>
          <w:szCs w:val="32"/>
          <w:highlight w:val="none"/>
          <w:lang w:val="en-US" w:eastAsia="zh-CN" w:bidi="zh-CN"/>
        </w:rPr>
        <w:t>、市财政局）</w:t>
      </w:r>
    </w:p>
    <w:p>
      <w:pPr>
        <w:keepNext w:val="0"/>
        <w:keepLines w:val="0"/>
        <w:pageBreakBefore w:val="0"/>
        <w:widowControl w:val="0"/>
        <w:kinsoku/>
        <w:wordWrap/>
        <w:overflowPunct/>
        <w:topLinePunct w:val="0"/>
        <w:autoSpaceDN/>
        <w:bidi w:val="0"/>
        <w:spacing w:line="560" w:lineRule="exact"/>
        <w:ind w:firstLine="642" w:firstLineChars="200"/>
        <w:textAlignment w:val="auto"/>
        <w:rPr>
          <w:rFonts w:hint="eastAsia" w:ascii="楷体_GB2312" w:hAnsi="楷体_GB2312" w:eastAsia="楷体_GB2312" w:cs="楷体_GB2312"/>
          <w:b w:val="0"/>
          <w:bCs w:val="0"/>
          <w:kern w:val="2"/>
          <w:sz w:val="32"/>
          <w:szCs w:val="32"/>
          <w:highlight w:val="none"/>
          <w:lang w:val="en-US" w:eastAsia="zh-CN" w:bidi="zh-CN"/>
        </w:rPr>
      </w:pPr>
      <w:r>
        <w:rPr>
          <w:rFonts w:hint="eastAsia" w:ascii="仿宋_GB2312" w:hAnsi="仿宋_GB2312" w:eastAsia="仿宋_GB2312" w:cs="仿宋_GB2312"/>
          <w:b/>
          <w:bCs/>
          <w:kern w:val="2"/>
          <w:sz w:val="32"/>
          <w:szCs w:val="32"/>
          <w:highlight w:val="none"/>
          <w:lang w:val="en-US" w:eastAsia="zh-CN" w:bidi="ar-SA"/>
        </w:rPr>
        <w:t>2.培育优质产业集群。</w:t>
      </w:r>
      <w:r>
        <w:rPr>
          <w:rFonts w:hint="eastAsia" w:ascii="仿宋_GB2312" w:hAnsi="仿宋_GB2312" w:eastAsia="仿宋_GB2312" w:cs="仿宋_GB2312"/>
          <w:kern w:val="2"/>
          <w:sz w:val="32"/>
          <w:szCs w:val="32"/>
          <w:highlight w:val="none"/>
          <w:lang w:val="en-US" w:eastAsia="zh-CN" w:bidi="ar-SA"/>
        </w:rPr>
        <w:t>编</w:t>
      </w:r>
      <w:r>
        <w:rPr>
          <w:rFonts w:hint="eastAsia" w:ascii="仿宋_GB2312" w:hAnsi="仿宋_GB2312" w:eastAsia="仿宋_GB2312" w:cs="仿宋_GB2312"/>
          <w:sz w:val="32"/>
          <w:szCs w:val="32"/>
          <w:highlight w:val="none"/>
        </w:rPr>
        <w:t>制养老产业发展指导目录，支持养老服务中小企业加快发展、龙头企业做大做强，不断提高科技创新能力</w:t>
      </w:r>
      <w:r>
        <w:rPr>
          <w:rFonts w:hint="eastAsia" w:ascii="仿宋_GB2312" w:hAnsi="仿宋_GB2312" w:eastAsia="仿宋_GB2312" w:cs="仿宋_GB2312"/>
          <w:sz w:val="32"/>
          <w:szCs w:val="32"/>
          <w:highlight w:val="none"/>
          <w:lang w:eastAsia="zh-CN"/>
        </w:rPr>
        <w:t>。</w:t>
      </w:r>
      <w:r>
        <w:rPr>
          <w:rFonts w:hint="eastAsia" w:ascii="仿宋_GB2312" w:hAnsi="仿宋" w:eastAsia="仿宋_GB2312" w:cs="仿宋_GB2312"/>
          <w:color w:val="auto"/>
          <w:sz w:val="32"/>
          <w:szCs w:val="32"/>
          <w:highlight w:val="none"/>
        </w:rPr>
        <w:t>实施“养老</w:t>
      </w:r>
      <w:r>
        <w:rPr>
          <w:rFonts w:hint="eastAsia" w:ascii="仿宋_GB2312" w:hAnsi="仿宋_GB2312" w:eastAsia="仿宋_GB2312" w:cs="仿宋_GB2312"/>
          <w:sz w:val="32"/>
          <w:szCs w:val="32"/>
          <w:highlight w:val="none"/>
        </w:rPr>
        <w:t>服务＋”行动，促进养老服务与先进制造、信息通信、健康养生、文化旅游、教育培训、家政服务等产业融合发展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鼓励</w:t>
      </w:r>
      <w:r>
        <w:rPr>
          <w:rFonts w:hint="eastAsia" w:ascii="仿宋_GB2312" w:hAnsi="仿宋_GB2312" w:eastAsia="仿宋_GB2312" w:cs="仿宋_GB2312"/>
          <w:sz w:val="32"/>
          <w:szCs w:val="32"/>
          <w:highlight w:val="none"/>
          <w:lang w:eastAsia="zh-CN"/>
        </w:rPr>
        <w:t>各区市</w:t>
      </w:r>
      <w:r>
        <w:rPr>
          <w:rFonts w:hint="eastAsia" w:ascii="仿宋_GB2312" w:hAnsi="仿宋_GB2312" w:eastAsia="仿宋_GB2312" w:cs="仿宋_GB2312"/>
          <w:sz w:val="32"/>
          <w:szCs w:val="32"/>
          <w:highlight w:val="none"/>
        </w:rPr>
        <w:t>充分利用资源优势，规划建设休闲养生、特色医疗、文化教育养老基地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培育</w:t>
      </w:r>
      <w:r>
        <w:rPr>
          <w:rFonts w:hint="eastAsia" w:ascii="仿宋_GB2312" w:hAnsi="仿宋_GB2312" w:eastAsia="仿宋_GB2312" w:cs="仿宋_GB2312"/>
          <w:sz w:val="32"/>
          <w:szCs w:val="32"/>
          <w:highlight w:val="none"/>
          <w:lang w:eastAsia="zh-CN"/>
        </w:rPr>
        <w:t>本地</w:t>
      </w:r>
      <w:r>
        <w:rPr>
          <w:rFonts w:hint="eastAsia" w:ascii="仿宋_GB2312" w:hAnsi="仿宋_GB2312" w:eastAsia="仿宋_GB2312" w:cs="仿宋_GB2312"/>
          <w:sz w:val="32"/>
          <w:szCs w:val="32"/>
          <w:highlight w:val="none"/>
        </w:rPr>
        <w:t>养老知名品牌，形成一批产业链长、覆盖领域广的养老产业集群</w:t>
      </w:r>
      <w:r>
        <w:rPr>
          <w:rFonts w:hint="eastAsia" w:ascii="仿宋_GB2312" w:hAnsi="仿宋_GB2312" w:eastAsia="仿宋_GB2312" w:cs="仿宋_GB2312"/>
          <w:sz w:val="32"/>
          <w:szCs w:val="32"/>
          <w:highlight w:val="none"/>
          <w:lang w:eastAsia="zh-CN"/>
        </w:rPr>
        <w:t>。</w:t>
      </w:r>
      <w:r>
        <w:rPr>
          <w:rFonts w:hint="eastAsia" w:ascii="楷体_GB2312" w:hAnsi="楷体_GB2312" w:eastAsia="楷体_GB2312" w:cs="楷体_GB2312"/>
          <w:b w:val="0"/>
          <w:bCs w:val="0"/>
          <w:kern w:val="2"/>
          <w:sz w:val="32"/>
          <w:szCs w:val="32"/>
          <w:highlight w:val="none"/>
          <w:lang w:val="en-US" w:eastAsia="zh-CN" w:bidi="zh-CN"/>
        </w:rPr>
        <w:t>（牵头单位：市民政局、</w:t>
      </w:r>
      <w:r>
        <w:rPr>
          <w:rFonts w:hint="eastAsia" w:ascii="楷体_GB2312" w:hAnsi="楷体_GB2312" w:eastAsia="楷体_GB2312" w:cs="楷体_GB2312"/>
          <w:b w:val="0"/>
          <w:bCs w:val="0"/>
          <w:sz w:val="32"/>
          <w:szCs w:val="32"/>
          <w:highlight w:val="none"/>
          <w:lang w:val="en-US" w:eastAsia="zh-CN"/>
        </w:rPr>
        <w:t>市发展改革委</w:t>
      </w:r>
      <w:r>
        <w:rPr>
          <w:rFonts w:hint="eastAsia" w:ascii="楷体_GB2312" w:hAnsi="楷体_GB2312" w:eastAsia="楷体_GB2312" w:cs="楷体_GB2312"/>
          <w:b w:val="0"/>
          <w:bCs w:val="0"/>
          <w:kern w:val="2"/>
          <w:sz w:val="32"/>
          <w:szCs w:val="32"/>
          <w:highlight w:val="none"/>
          <w:lang w:val="en-US" w:eastAsia="zh-CN" w:bidi="zh-CN"/>
        </w:rPr>
        <w:t>，参与单位：市卫生健康委、市商务局、市国资委）</w:t>
      </w:r>
    </w:p>
    <w:p>
      <w:pPr>
        <w:keepNext w:val="0"/>
        <w:keepLines w:val="0"/>
        <w:pageBreakBefore w:val="0"/>
        <w:widowControl w:val="0"/>
        <w:kinsoku/>
        <w:wordWrap/>
        <w:overflowPunct/>
        <w:topLinePunct w:val="0"/>
        <w:autoSpaceDN/>
        <w:bidi w:val="0"/>
        <w:spacing w:line="560" w:lineRule="exact"/>
        <w:ind w:firstLine="64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3.大力发展银发经济。</w:t>
      </w:r>
      <w:r>
        <w:rPr>
          <w:rFonts w:hint="eastAsia" w:ascii="仿宋_GB2312" w:hAnsi="仿宋_GB2312" w:eastAsia="仿宋_GB2312" w:cs="仿宋_GB2312"/>
          <w:sz w:val="32"/>
          <w:szCs w:val="32"/>
          <w:highlight w:val="none"/>
          <w:lang w:val="en-US" w:eastAsia="zh-CN"/>
        </w:rPr>
        <w:t>支持养老与相关行业融合发展, 丰富服务模式与业态,拓展旅居养老、文化养老、健康养老等新型消费领域.兼顾老年期需求和全生命周期准备,加快建设现代化银发经济产业体系,推动银发经济规模化、标准化、集群化、品牌化发展。各区市要紧扣“银发经济”消费特点，挖掘和释放“银发族”消费潜力，通过发放银发服务消费券和银发文旅优惠券等形式，促进老年人消费。</w:t>
      </w:r>
      <w:r>
        <w:rPr>
          <w:rFonts w:hint="eastAsia" w:ascii="楷体_GB2312" w:hAnsi="楷体_GB2312" w:eastAsia="楷体_GB2312" w:cs="楷体_GB2312"/>
          <w:b w:val="0"/>
          <w:bCs w:val="0"/>
          <w:sz w:val="32"/>
          <w:szCs w:val="32"/>
          <w:highlight w:val="none"/>
          <w:lang w:val="en-US" w:eastAsia="zh-CN"/>
        </w:rPr>
        <w:t>(牵头单位:市发展改革委、市民政局)</w:t>
      </w:r>
    </w:p>
    <w:p>
      <w:pPr>
        <w:keepNext w:val="0"/>
        <w:keepLines w:val="0"/>
        <w:pageBreakBefore w:val="0"/>
        <w:widowControl w:val="0"/>
        <w:kinsoku/>
        <w:wordWrap/>
        <w:overflowPunct/>
        <w:topLinePunct w:val="0"/>
        <w:autoSpaceDN/>
        <w:bidi w:val="0"/>
        <w:spacing w:line="560" w:lineRule="exact"/>
        <w:ind w:firstLine="642" w:firstLineChars="200"/>
        <w:textAlignment w:val="auto"/>
        <w:rPr>
          <w:rFonts w:hint="eastAsia" w:ascii="楷体_GB2312" w:hAnsi="楷体_GB2312" w:eastAsia="楷体_GB2312" w:cs="楷体_GB2312"/>
          <w:b w:val="0"/>
          <w:bCs w:val="0"/>
          <w:kern w:val="2"/>
          <w:sz w:val="32"/>
          <w:szCs w:val="32"/>
          <w:highlight w:val="none"/>
          <w:lang w:val="en-US" w:eastAsia="zh-CN" w:bidi="zh-CN"/>
        </w:rPr>
      </w:pPr>
      <w:r>
        <w:rPr>
          <w:rFonts w:hint="eastAsia" w:ascii="仿宋_GB2312" w:hAnsi="仿宋_GB2312" w:eastAsia="仿宋_GB2312" w:cs="仿宋_GB2312"/>
          <w:b/>
          <w:bCs/>
          <w:kern w:val="2"/>
          <w:sz w:val="32"/>
          <w:szCs w:val="32"/>
          <w:highlight w:val="none"/>
          <w:lang w:val="en-US" w:eastAsia="zh-CN" w:bidi="ar-SA"/>
        </w:rPr>
        <w:t>4.推动重点招商引资项目。</w:t>
      </w:r>
      <w:r>
        <w:rPr>
          <w:rFonts w:hint="eastAsia" w:ascii="仿宋_GB2312" w:hAnsi="仿宋_GB2312" w:eastAsia="仿宋_GB2312" w:cs="仿宋_GB2312"/>
          <w:sz w:val="32"/>
          <w:szCs w:val="32"/>
          <w:highlight w:val="none"/>
        </w:rPr>
        <w:t>对落户我市以养老服务为主营业务的央企、上市公司、国内排名前10位的龙头企业，以及固定资产投资达5000万元以上的养老服务业重大项目，采取“一事一议、一企一策”方式给予重点支持。</w:t>
      </w:r>
      <w:r>
        <w:rPr>
          <w:rFonts w:hint="eastAsia" w:ascii="仿宋_GB2312" w:hAnsi="仿宋_GB2312" w:eastAsia="仿宋_GB2312" w:cs="仿宋_GB2312"/>
          <w:sz w:val="32"/>
          <w:szCs w:val="32"/>
          <w:highlight w:val="none"/>
          <w:lang w:eastAsia="zh-CN"/>
        </w:rPr>
        <w:t>加大国有企业在养老产业领域布局力度，打造兼具经济社会效益的行业标杆企业。</w:t>
      </w:r>
      <w:r>
        <w:rPr>
          <w:rFonts w:hint="eastAsia" w:ascii="仿宋_GB2312" w:hAnsi="仿宋_GB2312" w:eastAsia="仿宋_GB2312" w:cs="仿宋_GB2312"/>
          <w:sz w:val="32"/>
          <w:szCs w:val="32"/>
          <w:highlight w:val="none"/>
        </w:rPr>
        <w:t>引</w:t>
      </w:r>
      <w:r>
        <w:rPr>
          <w:rFonts w:hint="eastAsia" w:ascii="仿宋_GB2312" w:hAnsi="仿宋_GB2312" w:eastAsia="仿宋_GB2312" w:cs="仿宋_GB2312"/>
          <w:sz w:val="32"/>
          <w:szCs w:val="32"/>
          <w:highlight w:val="none"/>
          <w:lang w:eastAsia="zh-CN"/>
        </w:rPr>
        <w:t>入中高端</w:t>
      </w:r>
      <w:r>
        <w:rPr>
          <w:rFonts w:hint="eastAsia" w:ascii="仿宋_GB2312" w:hAnsi="仿宋_GB2312" w:eastAsia="仿宋_GB2312" w:cs="仿宋_GB2312"/>
          <w:sz w:val="32"/>
          <w:szCs w:val="32"/>
          <w:highlight w:val="none"/>
        </w:rPr>
        <w:t>养老社区项目，吸引高层次人群入住养老，满足不同层次养老需求。引进</w:t>
      </w:r>
      <w:r>
        <w:rPr>
          <w:rFonts w:hint="default" w:ascii="仿宋_GB2312" w:hAnsi="仿宋_GB2312" w:eastAsia="仿宋_GB2312" w:cs="仿宋_GB2312"/>
          <w:sz w:val="32"/>
          <w:szCs w:val="32"/>
          <w:highlight w:val="none"/>
        </w:rPr>
        <w:t>具有国际先进技术水平的</w:t>
      </w:r>
      <w:r>
        <w:rPr>
          <w:rFonts w:hint="eastAsia" w:ascii="仿宋_GB2312" w:hAnsi="仿宋_GB2312" w:eastAsia="仿宋_GB2312" w:cs="仿宋_GB2312"/>
          <w:sz w:val="32"/>
          <w:szCs w:val="32"/>
          <w:highlight w:val="none"/>
          <w:lang w:eastAsia="zh-CN"/>
        </w:rPr>
        <w:t>外国养老领军企业，</w:t>
      </w:r>
      <w:r>
        <w:rPr>
          <w:rFonts w:hint="eastAsia" w:ascii="仿宋_GB2312" w:hAnsi="仿宋_GB2312" w:eastAsia="仿宋_GB2312" w:cs="仿宋_GB2312"/>
          <w:sz w:val="32"/>
          <w:szCs w:val="32"/>
          <w:highlight w:val="none"/>
        </w:rPr>
        <w:t>打造</w:t>
      </w:r>
      <w:r>
        <w:rPr>
          <w:rFonts w:hint="eastAsia" w:ascii="仿宋_GB2312" w:hAnsi="仿宋_GB2312" w:eastAsia="仿宋_GB2312" w:cs="仿宋_GB2312"/>
          <w:sz w:val="32"/>
          <w:szCs w:val="32"/>
          <w:highlight w:val="none"/>
          <w:lang w:eastAsia="zh-CN"/>
        </w:rPr>
        <w:t>具备</w:t>
      </w:r>
      <w:r>
        <w:rPr>
          <w:rFonts w:hint="eastAsia" w:ascii="仿宋_GB2312" w:hAnsi="仿宋_GB2312" w:eastAsia="仿宋_GB2312" w:cs="仿宋_GB2312"/>
          <w:sz w:val="32"/>
          <w:szCs w:val="32"/>
          <w:highlight w:val="none"/>
        </w:rPr>
        <w:t>国际水准的高</w:t>
      </w:r>
      <w:r>
        <w:rPr>
          <w:rFonts w:hint="eastAsia" w:ascii="仿宋_GB2312" w:hAnsi="仿宋_GB2312" w:eastAsia="仿宋_GB2312" w:cs="仿宋_GB2312"/>
          <w:sz w:val="32"/>
          <w:szCs w:val="32"/>
          <w:highlight w:val="none"/>
          <w:lang w:eastAsia="zh-CN"/>
        </w:rPr>
        <w:t>品质</w:t>
      </w:r>
      <w:r>
        <w:rPr>
          <w:rFonts w:hint="eastAsia" w:ascii="仿宋_GB2312" w:hAnsi="仿宋_GB2312" w:eastAsia="仿宋_GB2312" w:cs="仿宋_GB2312"/>
          <w:sz w:val="32"/>
          <w:szCs w:val="32"/>
          <w:highlight w:val="none"/>
        </w:rPr>
        <w:t>养老机构</w:t>
      </w:r>
      <w:r>
        <w:rPr>
          <w:rFonts w:hint="eastAsia" w:ascii="仿宋_GB2312" w:hAnsi="仿宋_GB2312" w:eastAsia="仿宋_GB2312" w:cs="仿宋_GB2312"/>
          <w:sz w:val="32"/>
          <w:szCs w:val="32"/>
          <w:highlight w:val="none"/>
          <w:lang w:eastAsia="zh-CN"/>
        </w:rPr>
        <w:t>。</w:t>
      </w:r>
      <w:r>
        <w:rPr>
          <w:rFonts w:hint="eastAsia" w:ascii="楷体_GB2312" w:hAnsi="楷体_GB2312" w:eastAsia="楷体_GB2312" w:cs="楷体_GB2312"/>
          <w:b w:val="0"/>
          <w:bCs w:val="0"/>
          <w:kern w:val="2"/>
          <w:sz w:val="32"/>
          <w:szCs w:val="32"/>
          <w:highlight w:val="none"/>
          <w:lang w:val="en-US" w:eastAsia="zh-CN" w:bidi="zh-CN"/>
        </w:rPr>
        <w:t>（牵头单位：市民政局，参与单位：市商务局、市自然资源和规划局）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三、保障措施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仿宋_GB2312" w:hAnsi="仿宋_GB2312" w:eastAsia="仿宋_GB2312" w:cs="仿宋_GB2312"/>
          <w:sz w:val="32"/>
          <w:szCs w:val="32"/>
          <w:highlight w:val="none"/>
          <w:lang w:val="en-US" w:eastAsia="zh-CN"/>
        </w:rPr>
        <w:t>各级、各有关部门应当把养老服务高质量发展纳入为民办实事项目</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，建立健全养老服务工作协调机制，将基本养老服务体系建设纳入相关规划和重要议事日程。市、县财政要设立养老服务专项资金，将不低于55%的</w:t>
      </w:r>
      <w:r>
        <w:rPr>
          <w:rFonts w:hint="eastAsia" w:ascii="仿宋_GB2312" w:hAnsi="仿宋_GB2312" w:eastAsia="仿宋_GB2312" w:cs="仿宋_GB2312"/>
          <w:sz w:val="32"/>
          <w:szCs w:val="32"/>
          <w:highlight w:val="none"/>
          <w:lang w:val="en-US" w:eastAsia="zh-CN"/>
        </w:rPr>
        <w:t>福彩公益</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资金用于支持发展养老服务，</w:t>
      </w:r>
      <w:r>
        <w:rPr>
          <w:rFonts w:hint="eastAsia" w:ascii="仿宋_GB2312" w:hAnsi="仿宋_GB2312" w:eastAsia="仿宋_GB2312" w:cs="仿宋_GB2312"/>
          <w:sz w:val="32"/>
          <w:szCs w:val="32"/>
          <w:highlight w:val="none"/>
          <w:lang w:val="en-US" w:eastAsia="zh-CN"/>
        </w:rPr>
        <w:t>安排比例逐年提高。各级人民政府应当全面落实养老服务机构税费减免政策，落实各类养老服务机构优惠政策，包括但不限于免缴城市基础设施配套费、物业费、有线（数字）电视建设费（入网费），减半缴纳防空地下室易地建设费、有线（数字）电视终端用户收视维护费以及用电、用水、用暖、燃气等执行居民价格等</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color w:val="auto"/>
          <w:sz w:val="32"/>
          <w:szCs w:val="32"/>
          <w:highlight w:val="none"/>
        </w:rPr>
        <w:t>大力宣传践行社会主义核心价值观，传承弘扬</w:t>
      </w:r>
      <w:r>
        <w:rPr>
          <w:rFonts w:hint="eastAsia" w:ascii="仿宋_GB2312" w:hAnsi="仿宋_GB2312" w:eastAsia="仿宋_GB2312" w:cs="仿宋_GB2312"/>
          <w:sz w:val="32"/>
          <w:szCs w:val="32"/>
          <w:highlight w:val="none"/>
          <w:lang w:val="en-US" w:eastAsia="zh-CN"/>
        </w:rPr>
        <w:t>中华民族孝亲敬老传统美德。引导老年人树立健康的养老观念、社会化养老服务的消费理念。加大对养老服务先进典型和为老服务示范单位、企业、个人的表彰力度，构建和谐养老文化。发挥市场配置养老服务资源重要作用，推动养老事业和产业协同发展，不断提升广大老年人的获得感、幸福感、满意度。</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altName w:val="汉仪仿宋简"/>
    <w:panose1 w:val="02010600040101010101"/>
    <w:charset w:val="00"/>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9" w:lineRule="auto"/>
      <w:ind w:right="423"/>
      <w:jc w:val="right"/>
      <w:rPr>
        <w:rFonts w:ascii="宋体" w:hAnsi="宋体" w:eastAsia="宋体" w:cs="宋体"/>
        <w:sz w:val="27"/>
        <w:szCs w:val="27"/>
      </w:rPr>
    </w:pPr>
  </w:p>
  <w:p>
    <w:pPr>
      <w:spacing w:before="1" w:line="189" w:lineRule="auto"/>
      <w:ind w:right="423"/>
      <w:jc w:val="right"/>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77C15"/>
    <w:rsid w:val="01580C56"/>
    <w:rsid w:val="016261B1"/>
    <w:rsid w:val="03274C4A"/>
    <w:rsid w:val="0337738D"/>
    <w:rsid w:val="03AD6D6B"/>
    <w:rsid w:val="046324AA"/>
    <w:rsid w:val="054E12BC"/>
    <w:rsid w:val="0676537E"/>
    <w:rsid w:val="06DB5138"/>
    <w:rsid w:val="070F412B"/>
    <w:rsid w:val="07C305F1"/>
    <w:rsid w:val="08E77ED5"/>
    <w:rsid w:val="0A8059FB"/>
    <w:rsid w:val="0C2B475D"/>
    <w:rsid w:val="0DA2297E"/>
    <w:rsid w:val="0F4135A2"/>
    <w:rsid w:val="0FEFB90A"/>
    <w:rsid w:val="121E178F"/>
    <w:rsid w:val="12EA4A0C"/>
    <w:rsid w:val="13E80E38"/>
    <w:rsid w:val="16421F11"/>
    <w:rsid w:val="19553A9D"/>
    <w:rsid w:val="1B87230D"/>
    <w:rsid w:val="1D7027D0"/>
    <w:rsid w:val="2043133F"/>
    <w:rsid w:val="23260909"/>
    <w:rsid w:val="23A67458"/>
    <w:rsid w:val="23B80681"/>
    <w:rsid w:val="251F22F5"/>
    <w:rsid w:val="261E279C"/>
    <w:rsid w:val="263303FE"/>
    <w:rsid w:val="27845A56"/>
    <w:rsid w:val="2858552C"/>
    <w:rsid w:val="28E04F1F"/>
    <w:rsid w:val="2A3D1958"/>
    <w:rsid w:val="2FD77ACF"/>
    <w:rsid w:val="31617B81"/>
    <w:rsid w:val="323843F2"/>
    <w:rsid w:val="33AB1ADA"/>
    <w:rsid w:val="34DB40B8"/>
    <w:rsid w:val="37962C96"/>
    <w:rsid w:val="37A05F23"/>
    <w:rsid w:val="38292570"/>
    <w:rsid w:val="38815F62"/>
    <w:rsid w:val="391B31AD"/>
    <w:rsid w:val="3BE429EB"/>
    <w:rsid w:val="3F7F29BA"/>
    <w:rsid w:val="40D529D0"/>
    <w:rsid w:val="41A710C5"/>
    <w:rsid w:val="42224666"/>
    <w:rsid w:val="444E3214"/>
    <w:rsid w:val="46116FEE"/>
    <w:rsid w:val="461A0345"/>
    <w:rsid w:val="47480D01"/>
    <w:rsid w:val="47C15148"/>
    <w:rsid w:val="4A547D19"/>
    <w:rsid w:val="4B9712A3"/>
    <w:rsid w:val="4BA75C26"/>
    <w:rsid w:val="4D16138E"/>
    <w:rsid w:val="4DCB4F24"/>
    <w:rsid w:val="540F4068"/>
    <w:rsid w:val="54A60C9C"/>
    <w:rsid w:val="55432CF1"/>
    <w:rsid w:val="55A55C27"/>
    <w:rsid w:val="575D474B"/>
    <w:rsid w:val="57BF1D31"/>
    <w:rsid w:val="58582264"/>
    <w:rsid w:val="5905591A"/>
    <w:rsid w:val="59E30971"/>
    <w:rsid w:val="5B0917E6"/>
    <w:rsid w:val="5B975C54"/>
    <w:rsid w:val="5C1C45D6"/>
    <w:rsid w:val="5C2F74CC"/>
    <w:rsid w:val="5ED25C28"/>
    <w:rsid w:val="603B4915"/>
    <w:rsid w:val="60AE372D"/>
    <w:rsid w:val="617321F1"/>
    <w:rsid w:val="618002AC"/>
    <w:rsid w:val="626E012D"/>
    <w:rsid w:val="63B2141C"/>
    <w:rsid w:val="64DB2183"/>
    <w:rsid w:val="656F640C"/>
    <w:rsid w:val="66C46630"/>
    <w:rsid w:val="687A058F"/>
    <w:rsid w:val="690E546B"/>
    <w:rsid w:val="6A096A15"/>
    <w:rsid w:val="6A2A2740"/>
    <w:rsid w:val="6A4B1251"/>
    <w:rsid w:val="6AE1613A"/>
    <w:rsid w:val="6AE43D6D"/>
    <w:rsid w:val="6B6D2E8A"/>
    <w:rsid w:val="6B985D85"/>
    <w:rsid w:val="6CA66216"/>
    <w:rsid w:val="6CA67E59"/>
    <w:rsid w:val="6D670292"/>
    <w:rsid w:val="6EFE65DE"/>
    <w:rsid w:val="6F93311C"/>
    <w:rsid w:val="6FD43509"/>
    <w:rsid w:val="73A64B37"/>
    <w:rsid w:val="73FE0E71"/>
    <w:rsid w:val="748650F4"/>
    <w:rsid w:val="75FA22CD"/>
    <w:rsid w:val="763D411B"/>
    <w:rsid w:val="77C635D9"/>
    <w:rsid w:val="78877C15"/>
    <w:rsid w:val="7D092933"/>
    <w:rsid w:val="7DA01912"/>
    <w:rsid w:val="7ED7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540" w:lineRule="exact"/>
      <w:ind w:firstLine="800" w:firstLineChars="200"/>
      <w:jc w:val="left"/>
      <w:outlineLvl w:val="1"/>
    </w:pPr>
    <w:rPr>
      <w:rFonts w:ascii="黑体" w:hAnsi="黑体" w:eastAsia="黑体" w:cs="黑体"/>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w:basedOn w:val="1"/>
    <w:next w:val="1"/>
    <w:qFormat/>
    <w:uiPriority w:val="1"/>
    <w:rPr>
      <w:rFonts w:ascii="仿宋_GB2312" w:hAnsi="仿宋_GB2312" w:eastAsia="仿宋_GB2312" w:cs="仿宋_GB2312"/>
      <w:sz w:val="32"/>
      <w:szCs w:val="32"/>
      <w:lang w:val="zh-CN" w:eastAsia="zh-CN" w:bidi="zh-CN"/>
    </w:rPr>
  </w:style>
  <w:style w:type="paragraph" w:styleId="7">
    <w:name w:val="Body Text Indent"/>
    <w:basedOn w:val="1"/>
    <w:qFormat/>
    <w:uiPriority w:val="0"/>
    <w:pPr>
      <w:spacing w:after="120"/>
      <w:ind w:left="420" w:leftChars="200"/>
    </w:pPr>
    <w:rPr>
      <w:rFonts w:eastAsia="仿宋_GB231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6"/>
    <w:qFormat/>
    <w:uiPriority w:val="0"/>
    <w:pPr>
      <w:spacing w:after="120"/>
      <w:ind w:firstLine="420" w:firstLineChars="100"/>
      <w:jc w:val="both"/>
    </w:pPr>
    <w:rPr>
      <w:sz w:val="21"/>
    </w:rPr>
  </w:style>
  <w:style w:type="paragraph" w:styleId="11">
    <w:name w:val="Body Text First Indent 2"/>
    <w:basedOn w:val="7"/>
    <w:qFormat/>
    <w:uiPriority w:val="0"/>
    <w:pPr>
      <w:ind w:firstLine="420" w:firstLineChars="200"/>
    </w:pPr>
  </w:style>
  <w:style w:type="character" w:styleId="14">
    <w:name w:val="Strong"/>
    <w:basedOn w:val="13"/>
    <w:qFormat/>
    <w:uiPriority w:val="0"/>
    <w:rPr>
      <w:b/>
    </w:rPr>
  </w:style>
  <w:style w:type="character" w:styleId="15">
    <w:name w:val="Emphasis"/>
    <w:basedOn w:val="13"/>
    <w:qFormat/>
    <w:uiPriority w:val="0"/>
    <w:rPr>
      <w:i/>
    </w:rPr>
  </w:style>
  <w:style w:type="character" w:customStyle="1" w:styleId="16">
    <w:name w:val="fontstyle01"/>
    <w:basedOn w:val="13"/>
    <w:qFormat/>
    <w:uiPriority w:val="0"/>
    <w:rPr>
      <w:rFonts w:ascii="仿宋_GB2312" w:hAnsi="仿宋_GB2312" w:eastAsia="仿宋_GB2312" w:cs="仿宋_GB2312"/>
      <w:color w:val="000000"/>
      <w:sz w:val="32"/>
      <w:szCs w:val="32"/>
    </w:rPr>
  </w:style>
  <w:style w:type="paragraph" w:customStyle="1" w:styleId="1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2024-01-18T03:05:00Z</dcterms:created>
  <dc:creator>文雅</dc:creator>
  <cp:lastModifiedBy>user</cp:lastModifiedBy>
  <cp:lastPrinted>2024-05-20T17:50:00Z</cp:lastPrinted>
  <dcterms:modified xsi:type="dcterms:W3CDTF">2024-07-10T17:31:08Z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8F70B1279107457C91BCD92AFEF5305A</vt:lpwstr>
  </property>
</Properties>
</file>