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烟台市新型城镇化与城乡融合发展规划（2021-2035年）起草说明</w:t>
      </w:r>
    </w:p>
    <w:p>
      <w:pPr>
        <w:spacing w:line="580" w:lineRule="exact"/>
        <w:ind w:left="0" w:leftChars="0" w:firstLine="0" w:firstLineChars="0"/>
        <w:rPr>
          <w:rFonts w:ascii="仿宋_GB2312" w:hAnsi="仿宋" w:cs="Times New Roman"/>
          <w:bCs/>
          <w:szCs w:val="24"/>
        </w:rPr>
      </w:pPr>
    </w:p>
    <w:p>
      <w:pPr>
        <w:ind w:firstLine="640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一、编制背景及过程</w:t>
      </w:r>
    </w:p>
    <w:p>
      <w:pPr>
        <w:spacing w:line="580" w:lineRule="exact"/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仿宋_GB2312" w:hAnsi="仿宋" w:cs="Times New Roman"/>
          <w:bCs/>
          <w:szCs w:val="24"/>
        </w:rPr>
        <w:t>城镇化是现代化的必由之路，是“两新一重”的重要内容，是最大的内需潜力所在。党的十九届五中全会要求完善新型城镇化战略，国家、省、市“十四五”规划对新型城镇化作出专题部署。新型城镇化规划是指导全市城镇化高质量发展的宏观性、战略性和基础性规划。《规划》明确了“十四五”期间及未来一个时期全市城镇化发展思路、目标路径、重点任务和政策保障，对提升全</w:t>
      </w:r>
      <w:r>
        <w:rPr>
          <w:rFonts w:hint="eastAsia" w:ascii="仿宋_GB2312" w:hAnsi="仿宋" w:cs="Times New Roman"/>
          <w:bCs/>
          <w:szCs w:val="24"/>
          <w:lang w:val="en-US" w:eastAsia="zh-CN"/>
        </w:rPr>
        <w:t>市</w:t>
      </w:r>
      <w:r>
        <w:rPr>
          <w:rFonts w:hint="eastAsia" w:ascii="仿宋_GB2312" w:hAnsi="仿宋" w:cs="Times New Roman"/>
          <w:bCs/>
          <w:szCs w:val="24"/>
        </w:rPr>
        <w:t>城镇化发展质量水平、助力打造更具影响力的现代化国际滨海城市具有重要意义。</w:t>
      </w:r>
    </w:p>
    <w:p>
      <w:pPr>
        <w:spacing w:line="580" w:lineRule="exact"/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仿宋_GB2312" w:hAnsi="仿宋" w:cs="Times New Roman"/>
          <w:bCs/>
          <w:szCs w:val="24"/>
        </w:rPr>
        <w:t>今年以来，市住建局先后四次组织20多个市直有关部门收集调研资料，并深入龙口、招远、莱州等区市，访谈企业、社区、小城镇、村庄20余个，完成参与式问卷1000余份。起草过程中，邀请专家建言献策，听取了多部门意见和国有企业建议。</w:t>
      </w:r>
    </w:p>
    <w:p>
      <w:pPr>
        <w:spacing w:line="580" w:lineRule="exact"/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仿宋_GB2312" w:hAnsi="仿宋" w:cs="Times New Roman"/>
          <w:bCs/>
          <w:szCs w:val="24"/>
        </w:rPr>
        <w:t>近期，按照山东省新型城镇化“智慧、绿色、均衡、双向”等内容要求，对《规划》进行了调整完善，由原来的4.2万字优化为3.4万字，相关目标任务与市“十四五”各专项规划及有关部门进行了衔接沟通，形成了</w:t>
      </w:r>
      <w:r>
        <w:rPr>
          <w:rFonts w:hint="eastAsia" w:ascii="仿宋_GB2312" w:hAnsi="仿宋" w:cs="Times New Roman"/>
          <w:bCs/>
          <w:szCs w:val="24"/>
          <w:lang w:eastAsia="zh-CN"/>
        </w:rPr>
        <w:t>《</w:t>
      </w:r>
      <w:r>
        <w:rPr>
          <w:rFonts w:hint="eastAsia" w:ascii="仿宋_GB2312" w:hAnsi="仿宋" w:cs="Times New Roman"/>
          <w:bCs/>
          <w:szCs w:val="24"/>
          <w:lang w:val="en-US" w:eastAsia="zh-CN"/>
        </w:rPr>
        <w:t>规划</w:t>
      </w:r>
      <w:r>
        <w:rPr>
          <w:rFonts w:hint="eastAsia" w:ascii="仿宋_GB2312" w:hAnsi="仿宋" w:cs="Times New Roman"/>
          <w:bCs/>
          <w:szCs w:val="24"/>
          <w:lang w:eastAsia="zh-CN"/>
        </w:rPr>
        <w:t>》征求意见</w:t>
      </w:r>
      <w:r>
        <w:rPr>
          <w:rFonts w:hint="eastAsia" w:ascii="仿宋_GB2312" w:hAnsi="仿宋" w:cs="Times New Roman"/>
          <w:bCs/>
          <w:szCs w:val="24"/>
        </w:rPr>
        <w:t>稿。</w:t>
      </w:r>
    </w:p>
    <w:p>
      <w:pPr>
        <w:ind w:left="420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二、规划框架和主要内容</w:t>
      </w:r>
    </w:p>
    <w:p>
      <w:pPr>
        <w:spacing w:line="580" w:lineRule="exact"/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仿宋_GB2312" w:hAnsi="仿宋" w:cs="Times New Roman"/>
          <w:bCs/>
          <w:szCs w:val="24"/>
        </w:rPr>
        <w:t>《规划》通篇贯彻习近平新时代中国特色社会主义思想，统筹推进“五位一体”总体布局，协调推进“四个全面”战略布局，坚定不移贯彻新发展理念，坚持稳中求进工作总基调，聚焦“走在前列、全面开创”，以满足人民日益增长的美好生活需要为根本目的，以推动高质量发展、创造高品质生活、实现高效能治理为目标导向，以协同化、绿色化、双向化、创新化为方向，以深化供给侧结构性改革、扩大高水平开放为根本动力，充分体现了新时代烟台新型城镇化发展的新思路、新模式、新机制。</w:t>
      </w:r>
    </w:p>
    <w:p>
      <w:pPr>
        <w:spacing w:line="580" w:lineRule="exact"/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仿宋_GB2312" w:hAnsi="仿宋" w:cs="Times New Roman"/>
          <w:bCs/>
          <w:szCs w:val="24"/>
        </w:rPr>
        <w:t>《规划》总体分为三个板块：第一板块为第1章，提出了新型城镇化的指导思想、基本原则和主要目标；第二板块为第2至5章，以协同、绿色、双向、创新为方向，提出四大规划任务和重点举措；第三板块为第6章，为规划实施保障。现就关键问题和重点任务说明如下：</w:t>
      </w:r>
    </w:p>
    <w:p>
      <w:pPr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楷体_GB2312" w:hAnsi="Calibri" w:eastAsia="楷体_GB2312" w:cs="Times New Roman"/>
        </w:rPr>
        <w:t>（一）关于规划原则与目标。</w:t>
      </w:r>
      <w:r>
        <w:rPr>
          <w:rFonts w:hint="eastAsia" w:ascii="仿宋_GB2312" w:hAnsi="仿宋" w:cs="Times New Roman"/>
          <w:bCs/>
          <w:szCs w:val="24"/>
        </w:rPr>
        <w:t>尊重城镇化与城乡融合发展规律，落实国家、山东省新型城镇化战略部署，坚持“以人为本、公平共享，区域协同、统筹布局，城乡互促、产城融合，创新驱动、系统集成，绿色发展、数字赋能，开放包容、彰显特色”，到2025年，基本实现以人为核心、高质量发展为导向的新型城镇化战略，努力打造山东省城镇村协调发展标杆地、城乡融合发展样板区，常住人口城镇化率达到70%以上。到2035年，城镇化高质量发展迈上新的大台阶，常住人口城镇化率达到76%左右，新型城镇化建设走在全国前列。</w:t>
      </w:r>
    </w:p>
    <w:p>
      <w:pPr>
        <w:ind w:firstLine="640"/>
        <w:rPr>
          <w:rFonts w:ascii="仿宋_GB2312" w:hAnsi="仿宋" w:cs="Times New Roman"/>
          <w:bCs/>
          <w:szCs w:val="24"/>
        </w:rPr>
      </w:pPr>
      <w:r>
        <w:rPr>
          <w:rFonts w:hint="eastAsia" w:ascii="楷体_GB2312" w:hAnsi="Calibri" w:eastAsia="楷体_GB2312" w:cs="Times New Roman"/>
        </w:rPr>
        <w:t>（二）关于协同城镇化。</w:t>
      </w:r>
      <w:r>
        <w:rPr>
          <w:rFonts w:hint="eastAsia" w:ascii="仿宋_GB2312" w:hAnsi="仿宋" w:cs="Times New Roman"/>
          <w:bCs/>
          <w:szCs w:val="24"/>
        </w:rPr>
        <w:t>融入与落实国家、省重大区域发展战略，打造胶东经济圈重要增长极，推进烟威都市区同城化发展。优化城镇化总体格局，</w:t>
      </w:r>
      <w:r>
        <w:rPr>
          <w:rFonts w:ascii="仿宋_GB2312" w:hAnsi="仿宋" w:cs="Times New Roman"/>
          <w:bCs/>
          <w:szCs w:val="24"/>
        </w:rPr>
        <w:t>坚持中心城区、县域、小城镇、美丽</w:t>
      </w:r>
      <w:r>
        <w:rPr>
          <w:rFonts w:hint="eastAsia" w:ascii="仿宋_GB2312" w:hAnsi="仿宋" w:cs="Times New Roman"/>
          <w:bCs/>
          <w:szCs w:val="24"/>
        </w:rPr>
        <w:t>乡村</w:t>
      </w:r>
      <w:r>
        <w:rPr>
          <w:rFonts w:ascii="仿宋_GB2312" w:hAnsi="仿宋" w:cs="Times New Roman"/>
          <w:bCs/>
          <w:szCs w:val="24"/>
        </w:rPr>
        <w:t>“四级联动”</w:t>
      </w:r>
      <w:r>
        <w:rPr>
          <w:rFonts w:hint="eastAsia" w:ascii="仿宋_GB2312" w:hAnsi="仿宋" w:cs="Times New Roman"/>
          <w:bCs/>
          <w:szCs w:val="24"/>
        </w:rPr>
        <w:t>。发挥烟台中心城区龙头引领作用，提升中心城区首位度。加强县城重要载体作用，促进新生小城市与特色小（城）镇健康协调发展，塑造县城引领乡镇、纵向分工协作的发展格局。协调综合交通枢纽与城市功能布局，构建以空港、海港、陆港枢纽为基础的综合交通枢纽体系，全面提升区域协同和城乡统筹水平。</w:t>
      </w:r>
    </w:p>
    <w:p>
      <w:pPr>
        <w:spacing w:line="580" w:lineRule="exact"/>
        <w:ind w:firstLine="630" w:firstLineChars="0"/>
        <w:rPr>
          <w:rFonts w:ascii="Times New Roman" w:hAnsi="Times New Roman" w:cs="Times New Roman"/>
          <w:szCs w:val="34"/>
        </w:rPr>
      </w:pPr>
      <w:r>
        <w:rPr>
          <w:rFonts w:hint="eastAsia" w:ascii="楷体_GB2312" w:hAnsi="Calibri" w:eastAsia="楷体_GB2312" w:cs="Times New Roman"/>
        </w:rPr>
        <w:t>（三）关于绿色城镇化。</w:t>
      </w:r>
      <w:r>
        <w:rPr>
          <w:rFonts w:hint="eastAsia" w:ascii="仿宋_GB2312" w:hAnsi="仿宋" w:cs="Times New Roman"/>
          <w:bCs/>
          <w:szCs w:val="24"/>
        </w:rPr>
        <w:t>将碳达峰、碳中和目标纳入城乡发展整体布局，创建国家级碳达峰碳中和示范区，全力打造低碳转型新样本，发挥规划约束和导向作用，贯彻“以人为本”的规划理念，坚持人与自然和谐共生，稳固蓝绿定城、山海城岛共融的生态格局，加快美丽烟台建设，彰显胶东人文特色，建设生态宜居、魅力多彩、安全韧性、绿色低碳的现代宜居城乡。</w:t>
      </w:r>
    </w:p>
    <w:p>
      <w:pPr>
        <w:spacing w:line="580" w:lineRule="exact"/>
        <w:ind w:firstLine="630" w:firstLineChars="0"/>
        <w:rPr>
          <w:rFonts w:ascii="仿宋_GB2312" w:hAnsi="仿宋" w:cs="Times New Roman"/>
          <w:bCs/>
          <w:szCs w:val="24"/>
        </w:rPr>
      </w:pPr>
      <w:r>
        <w:rPr>
          <w:rFonts w:hint="eastAsia" w:ascii="楷体_GB2312" w:hAnsi="Calibri" w:eastAsia="楷体_GB2312" w:cs="Times New Roman"/>
        </w:rPr>
        <w:t>（四）关于双向城镇化。</w:t>
      </w:r>
      <w:r>
        <w:rPr>
          <w:rFonts w:hint="eastAsia" w:ascii="仿宋_GB2312" w:hAnsi="仿宋" w:cs="Times New Roman"/>
          <w:bCs/>
          <w:szCs w:val="24"/>
        </w:rPr>
        <w:t xml:space="preserve">以乡村振兴战略为抓手，以缩小城乡发展差距和居民生活水平差距为目标，以“创建国家级城乡融合发展试验区”为要求推动城乡融合发展，加大人口集聚力度，引导城乡人口、土地、技术、资金等要素自由流动、平等交换、合理配置，推进城乡资源共享、经济融合，重塑新型工农、城乡关系，实现“宜城则城，宜乡则乡”，城乡深度融合，城乡居民共同富裕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" w:cs="Times New Roman"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80" w:lineRule="exact"/>
        <w:ind w:firstLine="640"/>
        <w:rPr>
          <w:rFonts w:hint="eastAsia" w:ascii="仿宋_GB2312" w:hAnsi="仿宋" w:cs="Times New Roman"/>
          <w:bCs/>
          <w:szCs w:val="24"/>
          <w:lang w:eastAsia="zh-CN"/>
        </w:rPr>
      </w:pPr>
      <w:r>
        <w:rPr>
          <w:rFonts w:hint="eastAsia" w:ascii="楷体_GB2312" w:hAnsi="Calibri" w:eastAsia="楷体_GB2312" w:cs="Times New Roman"/>
        </w:rPr>
        <w:t>（五）关于创新城镇化。</w:t>
      </w:r>
      <w:r>
        <w:rPr>
          <w:rFonts w:hint="eastAsia" w:ascii="仿宋_GB2312" w:hAnsi="仿宋" w:cs="Times New Roman"/>
          <w:bCs/>
          <w:szCs w:val="24"/>
        </w:rPr>
        <w:t>不断完善区域创新体系和全域创新布局，打造科技创新活力强市，以创新引领产业高质量发展，提升产业质量效益和核心竞争力，建设高质量发展现代产业体系；坚持数字赋能高质量发展，前瞻布局新型基础设施，健全智慧服务体系，遵循“整体智治”理念，加强和创新社会治理，充分运用新一代信息技术，高效能推动城市治理体系和治理能力现代化</w:t>
      </w:r>
      <w:r>
        <w:rPr>
          <w:rFonts w:hint="eastAsia" w:ascii="仿宋_GB2312" w:hAnsi="仿宋" w:cs="Times New Roman"/>
          <w:bCs/>
          <w:szCs w:val="24"/>
          <w:lang w:eastAsia="zh-CN"/>
        </w:rPr>
        <w:t>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bidi w:val="0"/>
        <w:jc w:val="righ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tabs>
          <w:tab w:val="center" w:pos="4394"/>
        </w:tabs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烟台市住房和城乡建设局</w:t>
      </w:r>
    </w:p>
    <w:p>
      <w:pPr>
        <w:tabs>
          <w:tab w:val="left" w:pos="3804"/>
        </w:tabs>
        <w:bidi w:val="0"/>
        <w:jc w:val="center"/>
      </w:pPr>
      <w:r>
        <w:rPr>
          <w:rFonts w:hint="eastAsia" w:ascii="仿宋_GB2312" w:hAnsi="仿宋_GB2312" w:cs="仿宋_GB231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2021年11月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cs="Times New Roman"/>
      </w:rPr>
      <w:id w:val="-870068606"/>
    </w:sdtPr>
    <w:sdtEndPr>
      <w:rPr>
        <w:rFonts w:ascii="等线" w:hAnsi="等线" w:cs="Times New Roman"/>
        <w:sz w:val="18"/>
        <w:szCs w:val="18"/>
      </w:rPr>
    </w:sdtEndPr>
    <w:sdtContent>
      <w:p>
        <w:pPr>
          <w:tabs>
            <w:tab w:val="center" w:pos="4153"/>
            <w:tab w:val="right" w:pos="8306"/>
          </w:tabs>
          <w:snapToGrid w:val="0"/>
          <w:ind w:firstLine="640"/>
          <w:jc w:val="center"/>
          <w:rPr>
            <w:rFonts w:ascii="等线" w:hAnsi="等线" w:cs="Times New Roman"/>
            <w:sz w:val="18"/>
            <w:szCs w:val="18"/>
          </w:rPr>
        </w:pPr>
        <w:r>
          <w:rPr>
            <w:rFonts w:ascii="等线" w:hAnsi="等线" w:cs="Times New Roman"/>
            <w:sz w:val="18"/>
            <w:szCs w:val="18"/>
          </w:rPr>
          <w:fldChar w:fldCharType="begin"/>
        </w:r>
        <w:r>
          <w:rPr>
            <w:rFonts w:ascii="等线" w:hAnsi="等线" w:cs="Times New Roman"/>
            <w:sz w:val="18"/>
            <w:szCs w:val="18"/>
          </w:rPr>
          <w:instrText xml:space="preserve">PAGE   \* MERGEFORMAT</w:instrText>
        </w:r>
        <w:r>
          <w:rPr>
            <w:rFonts w:ascii="等线" w:hAnsi="等线" w:cs="Times New Roman"/>
            <w:sz w:val="18"/>
            <w:szCs w:val="18"/>
          </w:rPr>
          <w:fldChar w:fldCharType="separate"/>
        </w:r>
        <w:r>
          <w:rPr>
            <w:rFonts w:ascii="等线" w:hAnsi="等线" w:cs="Times New Roman"/>
            <w:sz w:val="18"/>
            <w:szCs w:val="18"/>
            <w:lang w:val="zh-CN"/>
          </w:rPr>
          <w:t>4</w:t>
        </w:r>
        <w:r>
          <w:rPr>
            <w:rFonts w:ascii="等线" w:hAnsi="等线" w:cs="Times New Roman"/>
            <w:sz w:val="18"/>
            <w:szCs w:val="18"/>
          </w:rPr>
          <w:fldChar w:fldCharType="end"/>
        </w:r>
      </w:p>
    </w:sdtContent>
  </w:sdt>
  <w:p>
    <w:pPr>
      <w:tabs>
        <w:tab w:val="center" w:pos="4153"/>
        <w:tab w:val="right" w:pos="8306"/>
      </w:tabs>
      <w:snapToGrid w:val="0"/>
      <w:ind w:firstLine="360"/>
      <w:jc w:val="left"/>
      <w:rPr>
        <w:rFonts w:ascii="等线" w:hAnsi="等线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OGYzMTA4NDUxNTg3ZjE4ZTQ4ZDJmYjU4ODM5MjEifQ=="/>
  </w:docVars>
  <w:rsids>
    <w:rsidRoot w:val="00000000"/>
    <w:rsid w:val="0A385038"/>
    <w:rsid w:val="0A5B4A3B"/>
    <w:rsid w:val="0CB33364"/>
    <w:rsid w:val="2824782D"/>
    <w:rsid w:val="442742D8"/>
    <w:rsid w:val="58AC23EE"/>
    <w:rsid w:val="5F1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1820</Words>
  <Characters>1859</Characters>
  <Lines>0</Lines>
  <Paragraphs>0</Paragraphs>
  <TotalTime>42</TotalTime>
  <ScaleCrop>false</ScaleCrop>
  <LinksUpToDate>false</LinksUpToDate>
  <CharactersWithSpaces>8590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czk</cp:lastModifiedBy>
  <dcterms:modified xsi:type="dcterms:W3CDTF">2023-06-16T09:42:01Z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F737E5F74BC6463499855FE26AAF7386</vt:lpwstr>
  </property>
</Properties>
</file>