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黑体" w:eastAsia="仿宋_GB2312"/>
          <w:sz w:val="32"/>
          <w:szCs w:val="32"/>
        </w:rPr>
      </w:pPr>
      <w:r>
        <w:rPr>
          <w:rFonts w:hint="eastAsia" w:ascii="仿宋_GB2312" w:hAnsi="黑体" w:eastAsia="仿宋_GB2312"/>
          <w:sz w:val="32"/>
          <w:szCs w:val="32"/>
        </w:rPr>
        <w:t xml:space="preserve">附件：                           </w:t>
      </w:r>
    </w:p>
    <w:p>
      <w:pPr>
        <w:jc w:val="center"/>
        <w:rPr>
          <w:rFonts w:hint="eastAsia" w:ascii="方正小标宋简体" w:hAnsi="黑体" w:eastAsia="方正小标宋简体"/>
          <w:sz w:val="44"/>
          <w:szCs w:val="44"/>
        </w:rPr>
      </w:pPr>
      <w:r>
        <w:rPr>
          <w:rFonts w:hint="eastAsia" w:ascii="方正小标宋简体" w:hAnsi="微软雅黑" w:eastAsia="方正小标宋简体"/>
          <w:color w:val="000000"/>
          <w:sz w:val="44"/>
          <w:szCs w:val="44"/>
          <w:shd w:val="clear" w:color="auto" w:fill="FFFFFF"/>
        </w:rPr>
        <w:t>反馈意见采纳情况</w:t>
      </w:r>
    </w:p>
    <w:tbl>
      <w:tblPr>
        <w:tblStyle w:val="2"/>
        <w:tblW w:w="13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222"/>
        <w:gridCol w:w="1512"/>
        <w:gridCol w:w="3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1129" w:type="dxa"/>
            <w:vAlign w:val="center"/>
          </w:tcPr>
          <w:p>
            <w:pPr>
              <w:spacing w:line="400" w:lineRule="exact"/>
              <w:jc w:val="center"/>
              <w:rPr>
                <w:rFonts w:ascii="黑体" w:hAnsi="黑体" w:eastAsia="黑体"/>
                <w:b/>
                <w:sz w:val="24"/>
              </w:rPr>
            </w:pPr>
            <w:r>
              <w:rPr>
                <w:rFonts w:hint="eastAsia" w:ascii="黑体" w:hAnsi="黑体" w:eastAsia="黑体"/>
                <w:b/>
                <w:sz w:val="24"/>
              </w:rPr>
              <w:t>序号</w:t>
            </w:r>
          </w:p>
        </w:tc>
        <w:tc>
          <w:tcPr>
            <w:tcW w:w="7222" w:type="dxa"/>
            <w:vAlign w:val="center"/>
          </w:tcPr>
          <w:p>
            <w:pPr>
              <w:spacing w:line="400" w:lineRule="exact"/>
              <w:jc w:val="center"/>
              <w:rPr>
                <w:rFonts w:ascii="黑体" w:hAnsi="黑体" w:eastAsia="黑体"/>
                <w:b/>
                <w:sz w:val="24"/>
              </w:rPr>
            </w:pPr>
            <w:r>
              <w:rPr>
                <w:rFonts w:hint="eastAsia" w:ascii="黑体" w:hAnsi="黑体" w:eastAsia="黑体"/>
                <w:b/>
                <w:sz w:val="24"/>
              </w:rPr>
              <w:t>反馈意见</w:t>
            </w:r>
          </w:p>
        </w:tc>
        <w:tc>
          <w:tcPr>
            <w:tcW w:w="1512" w:type="dxa"/>
            <w:tcBorders>
              <w:bottom w:val="single" w:color="auto" w:sz="4" w:space="0"/>
            </w:tcBorders>
            <w:vAlign w:val="center"/>
          </w:tcPr>
          <w:p>
            <w:pPr>
              <w:spacing w:line="400" w:lineRule="exact"/>
              <w:jc w:val="center"/>
              <w:rPr>
                <w:rFonts w:ascii="黑体" w:hAnsi="黑体" w:eastAsia="黑体"/>
                <w:b/>
                <w:sz w:val="24"/>
              </w:rPr>
            </w:pPr>
            <w:r>
              <w:rPr>
                <w:rFonts w:hint="eastAsia" w:ascii="黑体" w:hAnsi="黑体" w:eastAsia="黑体"/>
                <w:b/>
                <w:sz w:val="24"/>
              </w:rPr>
              <w:t>采纳情况</w:t>
            </w:r>
          </w:p>
        </w:tc>
        <w:tc>
          <w:tcPr>
            <w:tcW w:w="3910" w:type="dxa"/>
            <w:tcBorders>
              <w:bottom w:val="single" w:color="auto" w:sz="4" w:space="0"/>
            </w:tcBorders>
            <w:vAlign w:val="center"/>
          </w:tcPr>
          <w:p>
            <w:pPr>
              <w:spacing w:line="400" w:lineRule="exact"/>
              <w:jc w:val="center"/>
              <w:rPr>
                <w:rFonts w:ascii="黑体" w:hAnsi="黑体" w:eastAsia="黑体"/>
                <w:b/>
                <w:sz w:val="24"/>
              </w:rPr>
            </w:pPr>
            <w:r>
              <w:rPr>
                <w:rFonts w:hint="eastAsia" w:ascii="黑体" w:hAnsi="黑体" w:eastAsia="黑体"/>
                <w:b/>
                <w:sz w:val="24"/>
              </w:rPr>
              <w:t>不采纳的原因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 w:val="28"/>
                <w:szCs w:val="28"/>
              </w:rPr>
            </w:pPr>
            <w:r>
              <w:rPr>
                <w:rFonts w:ascii="Times New Roman" w:hAnsi="Times New Roman" w:eastAsia="仿宋_GB2312" w:cs="Times New Roman"/>
                <w:szCs w:val="21"/>
              </w:rPr>
              <w:t>1</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第十六条</w:t>
            </w:r>
            <w:r>
              <w:rPr>
                <w:rFonts w:ascii="Times New Roman" w:hAnsi="Times New Roman" w:eastAsia="仿宋_GB2312" w:cs="Times New Roman"/>
                <w:szCs w:val="21"/>
              </w:rPr>
              <w:t>增加：</w:t>
            </w:r>
            <w:r>
              <w:rPr>
                <w:rFonts w:ascii="Times New Roman" w:hAnsi="Times New Roman" w:eastAsia="仿宋_GB2312" w:cs="Times New Roman"/>
                <w:b/>
                <w:szCs w:val="21"/>
              </w:rPr>
              <w:t>“歇业期间，交通运输局暂时收回许可证；歇业期间继续从事经营的，以未经许可从事道路运输</w:t>
            </w:r>
            <w:bookmarkStart w:id="0" w:name="_GoBack"/>
            <w:bookmarkEnd w:id="0"/>
            <w:r>
              <w:rPr>
                <w:rFonts w:ascii="Times New Roman" w:hAnsi="Times New Roman" w:eastAsia="仿宋_GB2312" w:cs="Times New Roman"/>
                <w:b/>
                <w:szCs w:val="21"/>
              </w:rPr>
              <w:t>经营进行处罚。”</w:t>
            </w:r>
          </w:p>
        </w:tc>
        <w:tc>
          <w:tcPr>
            <w:tcW w:w="1512" w:type="dxa"/>
            <w:tcBorders>
              <w:bottom w:val="single" w:color="auto" w:sz="4" w:space="0"/>
            </w:tcBorders>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tcBorders>
              <w:bottom w:val="single" w:color="auto" w:sz="4" w:space="0"/>
            </w:tcBorders>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无上位法律、法规依据，且不符合优化营商环境的有关规定。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第二十八条</w:t>
            </w:r>
            <w:r>
              <w:rPr>
                <w:rFonts w:ascii="Times New Roman" w:hAnsi="Times New Roman" w:eastAsia="仿宋_GB2312" w:cs="Times New Roman"/>
                <w:szCs w:val="21"/>
              </w:rPr>
              <w:t>增加：</w:t>
            </w:r>
            <w:r>
              <w:rPr>
                <w:rFonts w:ascii="Times New Roman" w:hAnsi="Times New Roman" w:eastAsia="仿宋_GB2312" w:cs="Times New Roman"/>
                <w:b/>
                <w:szCs w:val="21"/>
              </w:rPr>
              <w:t>“在以聚合模式运营过程中，接单的平台公司和派单的平台公司同时承担承运人连带责任。”</w:t>
            </w:r>
          </w:p>
        </w:tc>
        <w:tc>
          <w:tcPr>
            <w:tcW w:w="151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采纳</w:t>
            </w:r>
            <w:r>
              <w:rPr>
                <w:rFonts w:hint="eastAsia" w:ascii="Times New Roman" w:hAnsi="Times New Roman" w:eastAsia="仿宋_GB2312" w:cs="Times New Roman"/>
                <w:szCs w:val="21"/>
              </w:rPr>
              <w:t>，</w:t>
            </w:r>
            <w:r>
              <w:rPr>
                <w:rFonts w:ascii="Times New Roman" w:hAnsi="Times New Roman" w:eastAsia="仿宋_GB2312" w:cs="Times New Roman"/>
                <w:szCs w:val="21"/>
              </w:rPr>
              <w:t>在第二十九条</w:t>
            </w:r>
            <w:r>
              <w:rPr>
                <w:rFonts w:hint="eastAsia" w:ascii="Times New Roman" w:hAnsi="Times New Roman" w:eastAsia="仿宋_GB2312" w:cs="Times New Roman"/>
                <w:szCs w:val="21"/>
              </w:rPr>
              <w:t>增加</w:t>
            </w:r>
            <w:r>
              <w:rPr>
                <w:rFonts w:ascii="Times New Roman" w:hAnsi="Times New Roman" w:eastAsia="仿宋_GB2312" w:cs="Times New Roman"/>
                <w:szCs w:val="21"/>
              </w:rPr>
              <w:t>相</w:t>
            </w:r>
            <w:r>
              <w:rPr>
                <w:rFonts w:hint="eastAsia" w:ascii="Times New Roman" w:hAnsi="Times New Roman" w:eastAsia="仿宋_GB2312" w:cs="Times New Roman"/>
                <w:szCs w:val="21"/>
              </w:rPr>
              <w:t>应</w:t>
            </w:r>
            <w:r>
              <w:rPr>
                <w:rFonts w:ascii="Times New Roman" w:hAnsi="Times New Roman" w:eastAsia="仿宋_GB2312" w:cs="Times New Roman"/>
                <w:szCs w:val="21"/>
              </w:rPr>
              <w:t>内容</w:t>
            </w:r>
          </w:p>
        </w:tc>
        <w:tc>
          <w:tcPr>
            <w:tcW w:w="3910" w:type="dxa"/>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第五十二条补充完善具体情形，如驾驶员无过错，乘客有侮辱人格行为的（乘客脱鞋把脚伸给驾驶员等）；同时表述尽量采用已有的规范、规定。</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“侮辱人格行为”概念过于宽泛，在经营服务实践中难以界定，反而容易增加驾驶员、乘客间矛盾。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建议将</w:t>
            </w:r>
            <w:r>
              <w:rPr>
                <w:rFonts w:ascii="Times New Roman" w:hAnsi="Times New Roman" w:eastAsia="仿宋_GB2312" w:cs="Times New Roman"/>
                <w:b/>
                <w:szCs w:val="21"/>
              </w:rPr>
              <w:t>第五十八条</w:t>
            </w:r>
            <w:r>
              <w:rPr>
                <w:rFonts w:ascii="Times New Roman" w:hAnsi="Times New Roman" w:eastAsia="仿宋_GB2312" w:cs="Times New Roman"/>
                <w:szCs w:val="21"/>
              </w:rPr>
              <w:t>中</w:t>
            </w:r>
            <w:r>
              <w:rPr>
                <w:rFonts w:ascii="Times New Roman" w:hAnsi="Times New Roman" w:eastAsia="仿宋_GB2312" w:cs="Times New Roman"/>
                <w:b/>
                <w:szCs w:val="21"/>
              </w:rPr>
              <w:t>“执法依据”</w:t>
            </w:r>
            <w:r>
              <w:rPr>
                <w:rFonts w:ascii="Times New Roman" w:hAnsi="Times New Roman" w:eastAsia="仿宋_GB2312" w:cs="Times New Roman"/>
                <w:szCs w:val="21"/>
              </w:rPr>
              <w:t>修改为</w:t>
            </w:r>
            <w:r>
              <w:rPr>
                <w:rFonts w:ascii="Times New Roman" w:hAnsi="Times New Roman" w:eastAsia="仿宋_GB2312" w:cs="Times New Roman"/>
                <w:b/>
                <w:szCs w:val="21"/>
              </w:rPr>
              <w:t>“执法证据”。</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采纳</w:t>
            </w:r>
            <w:r>
              <w:rPr>
                <w:rFonts w:hint="eastAsia" w:ascii="Times New Roman" w:hAnsi="Times New Roman" w:eastAsia="仿宋_GB2312" w:cs="Times New Roman"/>
                <w:szCs w:val="21"/>
              </w:rPr>
              <w:t>，</w:t>
            </w:r>
            <w:r>
              <w:rPr>
                <w:rFonts w:ascii="Times New Roman" w:hAnsi="Times New Roman" w:eastAsia="仿宋_GB2312" w:cs="Times New Roman"/>
                <w:szCs w:val="21"/>
              </w:rPr>
              <w:t>已</w:t>
            </w:r>
            <w:r>
              <w:rPr>
                <w:rFonts w:hint="eastAsia" w:ascii="Times New Roman" w:hAnsi="Times New Roman" w:eastAsia="仿宋_GB2312" w:cs="Times New Roman"/>
                <w:szCs w:val="21"/>
              </w:rPr>
              <w:t>调整</w:t>
            </w:r>
          </w:p>
        </w:tc>
        <w:tc>
          <w:tcPr>
            <w:tcW w:w="391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建议删除</w:t>
            </w:r>
            <w:r>
              <w:rPr>
                <w:rFonts w:ascii="Times New Roman" w:hAnsi="Times New Roman" w:eastAsia="仿宋_GB2312" w:cs="Times New Roman"/>
                <w:b/>
                <w:szCs w:val="21"/>
              </w:rPr>
              <w:t>第八条</w:t>
            </w:r>
            <w:r>
              <w:rPr>
                <w:rFonts w:ascii="Times New Roman" w:hAnsi="Times New Roman" w:eastAsia="仿宋_GB2312" w:cs="Times New Roman"/>
                <w:szCs w:val="21"/>
              </w:rPr>
              <w:t>中</w:t>
            </w:r>
            <w:r>
              <w:rPr>
                <w:rFonts w:ascii="Times New Roman" w:hAnsi="Times New Roman" w:eastAsia="仿宋_GB2312" w:cs="Times New Roman"/>
                <w:b/>
                <w:szCs w:val="21"/>
              </w:rPr>
              <w:t>“服务机构属于分支机构的还应当提交分支机构营业执照及复印件。”</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原条款在交通运输部令2019年第46号中有明确规定。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第十条</w:t>
            </w:r>
            <w:r>
              <w:rPr>
                <w:rFonts w:ascii="Times New Roman" w:hAnsi="Times New Roman" w:eastAsia="仿宋_GB2312" w:cs="Times New Roman"/>
                <w:szCs w:val="21"/>
              </w:rPr>
              <w:t>增加：</w:t>
            </w:r>
            <w:r>
              <w:rPr>
                <w:rFonts w:ascii="Times New Roman" w:hAnsi="Times New Roman" w:eastAsia="仿宋_GB2312" w:cs="Times New Roman"/>
                <w:b/>
                <w:szCs w:val="21"/>
              </w:rPr>
              <w:t>“许可机关发放《网络预约出租汽车经营许可证》后，应在第二天将取得许可企业的名称，地址等相关信息抄告到交通、公安、网通等相关部门。”</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修改意见属“双告知”事项，是部门间信息共享的问题，不适宜在本实施细则中体现。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第十二条</w:t>
            </w:r>
            <w:r>
              <w:rPr>
                <w:rFonts w:ascii="Times New Roman" w:hAnsi="Times New Roman" w:eastAsia="仿宋_GB2312" w:cs="Times New Roman"/>
                <w:szCs w:val="21"/>
              </w:rPr>
              <w:t>增加：</w:t>
            </w:r>
            <w:r>
              <w:rPr>
                <w:rFonts w:ascii="Times New Roman" w:hAnsi="Times New Roman" w:eastAsia="仿宋_GB2312" w:cs="Times New Roman"/>
                <w:b/>
                <w:szCs w:val="21"/>
              </w:rPr>
              <w:t>“网约车平台公司许可发生变更的，许可机关应在第二天将变更情况抄告到交通，公安，网通等相关部门。”</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修改意见属“双告知”事项，是部门间信息共享的问题，不适宜在本实施细则中体现。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第十七条</w:t>
            </w:r>
            <w:r>
              <w:rPr>
                <w:rFonts w:ascii="Times New Roman" w:hAnsi="Times New Roman" w:eastAsia="仿宋_GB2312" w:cs="Times New Roman"/>
                <w:szCs w:val="21"/>
              </w:rPr>
              <w:t>增加：</w:t>
            </w:r>
            <w:r>
              <w:rPr>
                <w:rFonts w:ascii="Times New Roman" w:hAnsi="Times New Roman" w:eastAsia="仿宋_GB2312" w:cs="Times New Roman"/>
                <w:b/>
                <w:szCs w:val="21"/>
              </w:rPr>
              <w:t>“网约车平台公司在取得相应《网络预约出租汽车经营许可证》后，应自次日零时起向行业平台传输网约车平台公司、车辆、驾驶员等基础静态数据以及订单信息、经营信息、定位信息、服务质量信息等动态数据。”</w:t>
            </w:r>
          </w:p>
        </w:tc>
        <w:tc>
          <w:tcPr>
            <w:tcW w:w="151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采纳</w:t>
            </w:r>
            <w:r>
              <w:rPr>
                <w:rFonts w:hint="eastAsia" w:ascii="Times New Roman" w:hAnsi="Times New Roman" w:eastAsia="仿宋_GB2312" w:cs="Times New Roman"/>
                <w:szCs w:val="21"/>
              </w:rPr>
              <w:t>，</w:t>
            </w:r>
            <w:r>
              <w:rPr>
                <w:rFonts w:ascii="Times New Roman" w:hAnsi="Times New Roman" w:eastAsia="仿宋_GB2312" w:cs="Times New Roman"/>
                <w:szCs w:val="21"/>
              </w:rPr>
              <w:t>在第</w:t>
            </w:r>
            <w:r>
              <w:rPr>
                <w:rFonts w:hint="eastAsia" w:ascii="Times New Roman" w:hAnsi="Times New Roman" w:eastAsia="仿宋_GB2312" w:cs="Times New Roman"/>
                <w:szCs w:val="21"/>
              </w:rPr>
              <w:t>三十</w:t>
            </w:r>
            <w:r>
              <w:rPr>
                <w:rFonts w:ascii="Times New Roman" w:hAnsi="Times New Roman" w:eastAsia="仿宋_GB2312" w:cs="Times New Roman"/>
                <w:szCs w:val="21"/>
              </w:rPr>
              <w:t>六条</w:t>
            </w:r>
            <w:r>
              <w:rPr>
                <w:rFonts w:hint="eastAsia" w:ascii="Times New Roman" w:hAnsi="Times New Roman" w:eastAsia="仿宋_GB2312" w:cs="Times New Roman"/>
                <w:szCs w:val="21"/>
              </w:rPr>
              <w:t>增加</w:t>
            </w:r>
            <w:r>
              <w:rPr>
                <w:rFonts w:ascii="Times New Roman" w:hAnsi="Times New Roman" w:eastAsia="仿宋_GB2312" w:cs="Times New Roman"/>
                <w:szCs w:val="21"/>
              </w:rPr>
              <w:t>相</w:t>
            </w:r>
            <w:r>
              <w:rPr>
                <w:rFonts w:hint="eastAsia" w:ascii="Times New Roman" w:hAnsi="Times New Roman" w:eastAsia="仿宋_GB2312" w:cs="Times New Roman"/>
                <w:szCs w:val="21"/>
              </w:rPr>
              <w:t>应</w:t>
            </w:r>
            <w:r>
              <w:rPr>
                <w:rFonts w:ascii="Times New Roman" w:hAnsi="Times New Roman" w:eastAsia="仿宋_GB2312" w:cs="Times New Roman"/>
                <w:szCs w:val="21"/>
              </w:rPr>
              <w:t>内容</w:t>
            </w:r>
          </w:p>
        </w:tc>
        <w:tc>
          <w:tcPr>
            <w:tcW w:w="391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第十九条</w:t>
            </w:r>
            <w:r>
              <w:rPr>
                <w:rFonts w:ascii="Times New Roman" w:hAnsi="Times New Roman" w:eastAsia="仿宋_GB2312" w:cs="Times New Roman"/>
                <w:szCs w:val="21"/>
              </w:rPr>
              <w:t>增加：</w:t>
            </w:r>
            <w:r>
              <w:rPr>
                <w:rFonts w:ascii="Times New Roman" w:hAnsi="Times New Roman" w:eastAsia="仿宋_GB2312" w:cs="Times New Roman"/>
                <w:b/>
                <w:szCs w:val="21"/>
              </w:rPr>
              <w:t>“与网约车平台公司签订的接入协议外，还需要网约车平台公司提供在平台上可查询数据的帐号和密码。”</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不符合交通运输部《网络预约出租汽车监管信息交互平台运行管理办法》的有关规定。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第二十一条</w:t>
            </w:r>
            <w:r>
              <w:rPr>
                <w:rFonts w:ascii="Times New Roman" w:hAnsi="Times New Roman" w:eastAsia="仿宋_GB2312" w:cs="Times New Roman"/>
                <w:szCs w:val="21"/>
              </w:rPr>
              <w:t>增加：</w:t>
            </w:r>
            <w:r>
              <w:rPr>
                <w:rFonts w:ascii="Times New Roman" w:hAnsi="Times New Roman" w:eastAsia="仿宋_GB2312" w:cs="Times New Roman"/>
                <w:b/>
                <w:szCs w:val="21"/>
              </w:rPr>
              <w:t>“网约车行驶里程达到60万千米时，由公安机关强制报废，并由公安机关抄告交通部门。”</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修改意见属部门间信息共享的问题，不适宜在本实施细则中体现。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第二十七条</w:t>
            </w:r>
            <w:r>
              <w:rPr>
                <w:rFonts w:ascii="Times New Roman" w:hAnsi="Times New Roman" w:eastAsia="仿宋_GB2312" w:cs="Times New Roman"/>
                <w:szCs w:val="21"/>
              </w:rPr>
              <w:t>增加：</w:t>
            </w:r>
            <w:r>
              <w:rPr>
                <w:rFonts w:ascii="Times New Roman" w:hAnsi="Times New Roman" w:eastAsia="仿宋_GB2312" w:cs="Times New Roman"/>
                <w:b/>
                <w:szCs w:val="21"/>
              </w:rPr>
              <w:t>“与网约车平台公司解除服务协议的，由网约车平台公司向网约车驾驶员注册地交通主管部门进行报备。”</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由网约车驾驶员对所服务的平台公司名称进行注册报备更符合实践操作流程。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第二十八条</w:t>
            </w:r>
            <w:r>
              <w:rPr>
                <w:rFonts w:ascii="Times New Roman" w:hAnsi="Times New Roman" w:eastAsia="仿宋_GB2312" w:cs="Times New Roman"/>
                <w:szCs w:val="21"/>
              </w:rPr>
              <w:t>增加：</w:t>
            </w:r>
            <w:r>
              <w:rPr>
                <w:rFonts w:ascii="Times New Roman" w:hAnsi="Times New Roman" w:eastAsia="仿宋_GB2312" w:cs="Times New Roman"/>
                <w:b/>
                <w:szCs w:val="21"/>
              </w:rPr>
              <w:t>“网约车平台公司，加入聚合平台公司后，需在次日向网约车平台公司注册登记地交通主管部门报备，提供与聚合平台公司签订协议。”</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聚合平台不属于道路运输经营范畴。要求网约车公司报备与聚合平台公司的协议，无上位法依据，且不符合优化营商环境的有关规定。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13</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第五十二条</w:t>
            </w:r>
            <w:r>
              <w:rPr>
                <w:rFonts w:ascii="Times New Roman" w:hAnsi="Times New Roman" w:eastAsia="仿宋_GB2312" w:cs="Times New Roman"/>
                <w:szCs w:val="21"/>
              </w:rPr>
              <w:t>增加：</w:t>
            </w:r>
            <w:r>
              <w:rPr>
                <w:rFonts w:ascii="Times New Roman" w:hAnsi="Times New Roman" w:eastAsia="仿宋_GB2312" w:cs="Times New Roman"/>
                <w:b/>
                <w:szCs w:val="21"/>
              </w:rPr>
              <w:t>“网约车平台建立乘客黑名单制，对携带易燃、易爆、有毒等危险品或者，管制刀具等违禁品的乘客；对有故意损坏车内设施行为的乘客，对2次以上逃交车费乘客，对实施或者要求驾驶员实施违法行为的乘客，对有攻击驾驶员行为的乘客，列入乘客黑名单，列入黑名单乘客，在下单约车时，网约车平台可以拒绝向其提供服务，并向乘客端和司机端进行推送，网约车驾驶员可以拒绝为其提供服务。”</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建立乘客黑名单制度无上位法规支持，且出租汽车客运作为公共服务提供者不宜对乘客做出此类规定。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14</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第五十三条</w:t>
            </w:r>
            <w:r>
              <w:rPr>
                <w:rFonts w:ascii="Times New Roman" w:hAnsi="Times New Roman" w:eastAsia="仿宋_GB2312" w:cs="Times New Roman"/>
                <w:szCs w:val="21"/>
              </w:rPr>
              <w:t>增加：</w:t>
            </w:r>
            <w:r>
              <w:rPr>
                <w:rFonts w:ascii="Times New Roman" w:hAnsi="Times New Roman" w:eastAsia="仿宋_GB2312" w:cs="Times New Roman"/>
                <w:b/>
                <w:szCs w:val="21"/>
              </w:rPr>
              <w:t>“巡游出租车加入网约车平台，乘客应按巡游出租车计价器显示费用付费，无需要使用绑定的平台帐号付费。网约车平台应在乘客打车端向乘客显示说明。”</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《巡游出租汽车经营服务管理规定》对电召服务有明确规定，不宜再在本实施细则中提出要求。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建议将</w:t>
            </w:r>
            <w:r>
              <w:rPr>
                <w:rFonts w:ascii="Times New Roman" w:hAnsi="Times New Roman" w:eastAsia="仿宋_GB2312" w:cs="Times New Roman"/>
                <w:b/>
                <w:szCs w:val="21"/>
              </w:rPr>
              <w:t>第五十五条“监管平台”</w:t>
            </w:r>
            <w:r>
              <w:rPr>
                <w:rFonts w:ascii="Times New Roman" w:hAnsi="Times New Roman" w:eastAsia="仿宋_GB2312" w:cs="Times New Roman"/>
                <w:szCs w:val="21"/>
              </w:rPr>
              <w:t>修改为</w:t>
            </w:r>
            <w:r>
              <w:rPr>
                <w:rFonts w:ascii="Times New Roman" w:hAnsi="Times New Roman" w:eastAsia="仿宋_GB2312" w:cs="Times New Roman"/>
                <w:b/>
                <w:szCs w:val="21"/>
              </w:rPr>
              <w:t>“城市平台”</w:t>
            </w:r>
            <w:r>
              <w:rPr>
                <w:rFonts w:ascii="Times New Roman" w:hAnsi="Times New Roman" w:eastAsia="仿宋_GB2312" w:cs="Times New Roman"/>
                <w:szCs w:val="21"/>
              </w:rPr>
              <w:t>；删除</w:t>
            </w:r>
            <w:r>
              <w:rPr>
                <w:rFonts w:ascii="Times New Roman" w:hAnsi="Times New Roman" w:eastAsia="仿宋_GB2312" w:cs="Times New Roman"/>
                <w:b/>
                <w:szCs w:val="21"/>
              </w:rPr>
              <w:t>“网约车平台公司有关信息应接入政府监管平台，实现信息实时共享，共享信息应当包括车辆和驾驶员基本信息、服务质量以及乘客评价信息等。”</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根据交通运输部《网络预约出租汽车监管信息交互平台运行管理办法》，“城市平台”不能表达“监管平台”的含义；且需接入的信息内容应保留。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建议将</w:t>
            </w:r>
            <w:r>
              <w:rPr>
                <w:rFonts w:ascii="Times New Roman" w:hAnsi="Times New Roman" w:eastAsia="仿宋_GB2312" w:cs="Times New Roman"/>
                <w:b/>
                <w:szCs w:val="21"/>
              </w:rPr>
              <w:t>第二条</w:t>
            </w:r>
            <w:r>
              <w:rPr>
                <w:rFonts w:ascii="Times New Roman" w:hAnsi="Times New Roman" w:eastAsia="仿宋_GB2312" w:cs="Times New Roman"/>
                <w:szCs w:val="21"/>
              </w:rPr>
              <w:t>聚合平台定义修改为：</w:t>
            </w:r>
            <w:r>
              <w:rPr>
                <w:rFonts w:ascii="Times New Roman" w:hAnsi="Times New Roman" w:eastAsia="仿宋_GB2312" w:cs="Times New Roman"/>
                <w:b/>
                <w:szCs w:val="21"/>
              </w:rPr>
              <w:t>“依托互联网技术提供信息服务，面向乘客、与网约车平台公司共同提供网络预约出租汽车服务、承担共同承运人责任的平台。”</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采纳</w:t>
            </w:r>
            <w:r>
              <w:rPr>
                <w:rFonts w:hint="eastAsia" w:ascii="Times New Roman" w:hAnsi="Times New Roman" w:eastAsia="仿宋_GB2312" w:cs="Times New Roman"/>
                <w:szCs w:val="21"/>
              </w:rPr>
              <w:t>，</w:t>
            </w:r>
            <w:r>
              <w:rPr>
                <w:rFonts w:ascii="Times New Roman" w:hAnsi="Times New Roman" w:eastAsia="仿宋_GB2312" w:cs="Times New Roman"/>
                <w:szCs w:val="21"/>
              </w:rPr>
              <w:t>已调整</w:t>
            </w:r>
          </w:p>
        </w:tc>
        <w:tc>
          <w:tcPr>
            <w:tcW w:w="391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17</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建议将</w:t>
            </w:r>
            <w:r>
              <w:rPr>
                <w:rFonts w:ascii="Times New Roman" w:hAnsi="Times New Roman" w:eastAsia="仿宋_GB2312" w:cs="Times New Roman"/>
                <w:b/>
                <w:szCs w:val="21"/>
              </w:rPr>
              <w:t>第十七条</w:t>
            </w:r>
            <w:r>
              <w:rPr>
                <w:rFonts w:ascii="Times New Roman" w:hAnsi="Times New Roman" w:eastAsia="仿宋_GB2312" w:cs="Times New Roman"/>
                <w:szCs w:val="21"/>
              </w:rPr>
              <w:t>车辆条件修改为：</w:t>
            </w:r>
            <w:r>
              <w:rPr>
                <w:rFonts w:ascii="Times New Roman" w:hAnsi="Times New Roman" w:eastAsia="仿宋_GB2312" w:cs="Times New Roman"/>
                <w:b/>
                <w:szCs w:val="21"/>
              </w:rPr>
              <w:t>“网约车平台公司每批次取得许可的车辆中，新能源车辆的比例不低于40%，对12万以上的燃油车、不插电混动汽车保留60%的准入比例。”</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一是根据《烟台市“十四五”空气质量改善规划》中指出，“十四五”期间新增或更新的网约车新能源或清洁能源比例不低于 80%；</w:t>
            </w:r>
          </w:p>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二是随着换电式新能源车辆的推广，新能源车辆价格和续航</w:t>
            </w:r>
            <w:r>
              <w:rPr>
                <w:rFonts w:hint="eastAsia" w:ascii="Times New Roman" w:hAnsi="Times New Roman" w:eastAsia="仿宋_GB2312" w:cs="Times New Roman"/>
                <w:szCs w:val="21"/>
              </w:rPr>
              <w:t>问题</w:t>
            </w:r>
            <w:r>
              <w:rPr>
                <w:rFonts w:ascii="Times New Roman" w:hAnsi="Times New Roman" w:eastAsia="仿宋_GB2312" w:cs="Times New Roman"/>
                <w:szCs w:val="21"/>
              </w:rPr>
              <w:t>能够得到有效解决；</w:t>
            </w:r>
          </w:p>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三是经调查，我市大部分网约车驾驶员在更新车辆时会选择新能源车辆。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18</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第二十四条</w:t>
            </w:r>
            <w:r>
              <w:rPr>
                <w:rFonts w:ascii="Times New Roman" w:hAnsi="Times New Roman" w:eastAsia="仿宋_GB2312" w:cs="Times New Roman"/>
                <w:szCs w:val="21"/>
              </w:rPr>
              <w:t>将</w:t>
            </w:r>
            <w:r>
              <w:rPr>
                <w:rFonts w:ascii="Times New Roman" w:hAnsi="Times New Roman" w:eastAsia="仿宋_GB2312" w:cs="Times New Roman"/>
                <w:b/>
                <w:szCs w:val="21"/>
              </w:rPr>
              <w:t>“法定年龄”</w:t>
            </w:r>
            <w:r>
              <w:rPr>
                <w:rFonts w:ascii="Times New Roman" w:hAnsi="Times New Roman" w:eastAsia="仿宋_GB2312" w:cs="Times New Roman"/>
                <w:szCs w:val="21"/>
              </w:rPr>
              <w:t>修改为</w:t>
            </w:r>
            <w:r>
              <w:rPr>
                <w:rFonts w:ascii="Times New Roman" w:hAnsi="Times New Roman" w:eastAsia="仿宋_GB2312" w:cs="Times New Roman"/>
                <w:b/>
                <w:szCs w:val="21"/>
              </w:rPr>
              <w:t>“法定退休年龄”。</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我市计划明年对出租汽车客运管理进行地方立法，拟将出租汽车驾驶员的工作年限进行适当延长。为了不发生冲突，此次采用法定年龄的表述。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19</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第二十六条</w:t>
            </w:r>
            <w:r>
              <w:rPr>
                <w:rFonts w:ascii="Times New Roman" w:hAnsi="Times New Roman" w:eastAsia="仿宋_GB2312" w:cs="Times New Roman"/>
                <w:szCs w:val="21"/>
              </w:rPr>
              <w:t>增加</w:t>
            </w:r>
            <w:r>
              <w:rPr>
                <w:rFonts w:ascii="Times New Roman" w:hAnsi="Times New Roman" w:eastAsia="仿宋_GB2312" w:cs="Times New Roman"/>
                <w:b/>
                <w:szCs w:val="21"/>
              </w:rPr>
              <w:t>“网约车和巡游车从业资格证件互认”</w:t>
            </w:r>
            <w:r>
              <w:rPr>
                <w:rFonts w:ascii="Times New Roman" w:hAnsi="Times New Roman" w:eastAsia="仿宋_GB2312" w:cs="Times New Roman"/>
                <w:szCs w:val="21"/>
              </w:rPr>
              <w:t>的内容。</w:t>
            </w:r>
          </w:p>
        </w:tc>
        <w:tc>
          <w:tcPr>
            <w:tcW w:w="1512" w:type="dxa"/>
            <w:vAlign w:val="center"/>
          </w:tcPr>
          <w:p>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部分</w:t>
            </w:r>
            <w:r>
              <w:rPr>
                <w:rFonts w:ascii="Times New Roman" w:hAnsi="Times New Roman" w:eastAsia="仿宋_GB2312" w:cs="Times New Roman"/>
                <w:szCs w:val="21"/>
              </w:rPr>
              <w:t>采纳</w:t>
            </w:r>
            <w:r>
              <w:rPr>
                <w:rFonts w:hint="eastAsia" w:ascii="Times New Roman" w:hAnsi="Times New Roman" w:eastAsia="仿宋_GB2312" w:cs="Times New Roman"/>
                <w:szCs w:val="21"/>
              </w:rPr>
              <w:t>，</w:t>
            </w:r>
            <w:r>
              <w:rPr>
                <w:rFonts w:ascii="Times New Roman" w:hAnsi="Times New Roman" w:eastAsia="仿宋_GB2312" w:cs="Times New Roman"/>
                <w:szCs w:val="21"/>
              </w:rPr>
              <w:t>调整</w:t>
            </w:r>
            <w:r>
              <w:rPr>
                <w:rFonts w:hint="eastAsia" w:ascii="Times New Roman" w:hAnsi="Times New Roman" w:eastAsia="仿宋_GB2312" w:cs="Times New Roman"/>
                <w:szCs w:val="21"/>
              </w:rPr>
              <w:t>细则</w:t>
            </w:r>
            <w:r>
              <w:rPr>
                <w:rFonts w:ascii="Times New Roman" w:hAnsi="Times New Roman" w:eastAsia="仿宋_GB2312" w:cs="Times New Roman"/>
                <w:szCs w:val="21"/>
              </w:rPr>
              <w:t>中对网约车驾驶员证</w:t>
            </w:r>
            <w:r>
              <w:rPr>
                <w:rFonts w:hint="eastAsia" w:ascii="Times New Roman" w:hAnsi="Times New Roman" w:eastAsia="仿宋_GB2312" w:cs="Times New Roman"/>
                <w:szCs w:val="21"/>
              </w:rPr>
              <w:t>的</w:t>
            </w:r>
            <w:r>
              <w:rPr>
                <w:rFonts w:ascii="Times New Roman" w:hAnsi="Times New Roman" w:eastAsia="仿宋_GB2312" w:cs="Times New Roman"/>
                <w:szCs w:val="21"/>
              </w:rPr>
              <w:t>表述</w:t>
            </w:r>
          </w:p>
        </w:tc>
        <w:tc>
          <w:tcPr>
            <w:tcW w:w="3910" w:type="dxa"/>
            <w:vAlign w:val="center"/>
          </w:tcPr>
          <w:p>
            <w:pPr>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关于</w:t>
            </w:r>
            <w:r>
              <w:rPr>
                <w:rFonts w:ascii="Times New Roman" w:hAnsi="Times New Roman" w:eastAsia="仿宋_GB2312" w:cs="Times New Roman"/>
                <w:szCs w:val="21"/>
              </w:rPr>
              <w:t>网约车和巡游车从业资格证件</w:t>
            </w:r>
            <w:r>
              <w:rPr>
                <w:rFonts w:hint="eastAsia" w:ascii="Times New Roman" w:hAnsi="Times New Roman" w:eastAsia="仿宋_GB2312" w:cs="Times New Roman"/>
                <w:szCs w:val="21"/>
              </w:rPr>
              <w:t>互认的</w:t>
            </w:r>
            <w:r>
              <w:rPr>
                <w:rFonts w:ascii="Times New Roman" w:hAnsi="Times New Roman" w:eastAsia="仿宋_GB2312" w:cs="Times New Roman"/>
                <w:szCs w:val="21"/>
              </w:rPr>
              <w:t>建议，</w:t>
            </w:r>
            <w:r>
              <w:rPr>
                <w:rFonts w:hint="eastAsia" w:ascii="Times New Roman" w:hAnsi="Times New Roman" w:eastAsia="仿宋_GB2312" w:cs="Times New Roman"/>
                <w:szCs w:val="21"/>
              </w:rPr>
              <w:t>目前</w:t>
            </w:r>
            <w:r>
              <w:rPr>
                <w:rFonts w:ascii="Times New Roman" w:hAnsi="Times New Roman" w:eastAsia="仿宋_GB2312" w:cs="Times New Roman"/>
                <w:szCs w:val="21"/>
              </w:rPr>
              <w:t>在我市</w:t>
            </w:r>
            <w:r>
              <w:rPr>
                <w:rFonts w:hint="eastAsia" w:ascii="Times New Roman" w:hAnsi="Times New Roman" w:eastAsia="仿宋_GB2312" w:cs="Times New Roman"/>
                <w:szCs w:val="21"/>
              </w:rPr>
              <w:t>突破</w:t>
            </w:r>
            <w:r>
              <w:rPr>
                <w:rFonts w:ascii="Times New Roman" w:hAnsi="Times New Roman" w:eastAsia="仿宋_GB2312" w:cs="Times New Roman"/>
                <w:szCs w:val="21"/>
              </w:rPr>
              <w:t>交通运输部《出租汽车驾驶员从业资格管理规定》</w:t>
            </w:r>
            <w:r>
              <w:rPr>
                <w:rFonts w:hint="eastAsia" w:ascii="Times New Roman" w:hAnsi="Times New Roman" w:eastAsia="仿宋_GB2312" w:cs="Times New Roman"/>
                <w:szCs w:val="21"/>
                <w:lang w:eastAsia="zh-CN"/>
              </w:rPr>
              <w:t>的</w:t>
            </w:r>
            <w:r>
              <w:rPr>
                <w:rFonts w:ascii="Times New Roman" w:hAnsi="Times New Roman" w:eastAsia="仿宋_GB2312" w:cs="Times New Roman"/>
                <w:szCs w:val="21"/>
              </w:rPr>
              <w:t>条件尚不成熟</w:t>
            </w:r>
            <w:r>
              <w:rPr>
                <w:rFonts w:hint="eastAsia" w:ascii="Times New Roman" w:hAnsi="Times New Roman" w:eastAsia="仿宋_GB2312" w:cs="Times New Roman"/>
                <w:szCs w:val="21"/>
              </w:rPr>
              <w:t>。通过</w:t>
            </w:r>
            <w:r>
              <w:rPr>
                <w:rFonts w:ascii="Times New Roman" w:hAnsi="Times New Roman" w:eastAsia="仿宋_GB2312" w:cs="Times New Roman"/>
                <w:szCs w:val="21"/>
              </w:rPr>
              <w:t>将细则</w:t>
            </w:r>
            <w:r>
              <w:rPr>
                <w:rFonts w:hint="eastAsia" w:ascii="Times New Roman" w:hAnsi="Times New Roman" w:eastAsia="仿宋_GB2312" w:cs="Times New Roman"/>
                <w:szCs w:val="21"/>
              </w:rPr>
              <w:t>中《</w:t>
            </w:r>
            <w:r>
              <w:rPr>
                <w:rFonts w:ascii="Times New Roman" w:hAnsi="Times New Roman" w:eastAsia="仿宋_GB2312" w:cs="Times New Roman"/>
                <w:szCs w:val="21"/>
              </w:rPr>
              <w:t>网约车驾驶员证</w:t>
            </w:r>
            <w:r>
              <w:rPr>
                <w:rFonts w:hint="eastAsia" w:ascii="Times New Roman" w:hAnsi="Times New Roman" w:eastAsia="仿宋_GB2312" w:cs="Times New Roman"/>
                <w:szCs w:val="21"/>
              </w:rPr>
              <w:t>》的</w:t>
            </w:r>
            <w:r>
              <w:rPr>
                <w:rFonts w:ascii="Times New Roman" w:hAnsi="Times New Roman" w:eastAsia="仿宋_GB2312" w:cs="Times New Roman"/>
                <w:szCs w:val="21"/>
              </w:rPr>
              <w:t>表述</w:t>
            </w:r>
            <w:r>
              <w:rPr>
                <w:rFonts w:hint="eastAsia" w:ascii="Times New Roman" w:hAnsi="Times New Roman" w:eastAsia="仿宋_GB2312" w:cs="Times New Roman"/>
                <w:szCs w:val="21"/>
              </w:rPr>
              <w:t>调整为</w:t>
            </w:r>
            <w:r>
              <w:rPr>
                <w:rFonts w:ascii="Times New Roman" w:hAnsi="Times New Roman" w:eastAsia="仿宋_GB2312" w:cs="Times New Roman"/>
                <w:szCs w:val="21"/>
              </w:rPr>
              <w:t>网约车驾驶员从业资格证件，</w:t>
            </w:r>
            <w:r>
              <w:rPr>
                <w:rFonts w:hint="eastAsia" w:ascii="Times New Roman" w:hAnsi="Times New Roman" w:eastAsia="仿宋_GB2312" w:cs="Times New Roman"/>
                <w:szCs w:val="21"/>
              </w:rPr>
              <w:t>为</w:t>
            </w:r>
            <w:r>
              <w:rPr>
                <w:rFonts w:ascii="Times New Roman" w:hAnsi="Times New Roman" w:eastAsia="仿宋_GB2312" w:cs="Times New Roman"/>
                <w:szCs w:val="21"/>
              </w:rPr>
              <w:t>明年出租汽车客运管理条例立法</w:t>
            </w:r>
            <w:r>
              <w:rPr>
                <w:rFonts w:hint="eastAsia" w:ascii="Times New Roman" w:hAnsi="Times New Roman" w:eastAsia="仿宋_GB2312" w:cs="Times New Roman"/>
                <w:szCs w:val="21"/>
              </w:rPr>
              <w:t>留有</w:t>
            </w:r>
            <w:r>
              <w:rPr>
                <w:rFonts w:ascii="Times New Roman" w:hAnsi="Times New Roman" w:eastAsia="仿宋_GB2312" w:cs="Times New Roman"/>
                <w:szCs w:val="21"/>
              </w:rPr>
              <w:t>接口，</w:t>
            </w:r>
            <w:r>
              <w:rPr>
                <w:rFonts w:hint="eastAsia" w:ascii="Times New Roman" w:hAnsi="Times New Roman" w:eastAsia="仿宋_GB2312" w:cs="Times New Roman"/>
                <w:szCs w:val="21"/>
              </w:rPr>
              <w:t>届时再</w:t>
            </w:r>
            <w:r>
              <w:rPr>
                <w:rFonts w:ascii="Times New Roman" w:hAnsi="Times New Roman" w:eastAsia="仿宋_GB2312" w:cs="Times New Roman"/>
                <w:szCs w:val="21"/>
              </w:rPr>
              <w:t>推行</w:t>
            </w:r>
            <w:r>
              <w:rPr>
                <w:rFonts w:hint="eastAsia" w:ascii="Times New Roman" w:hAnsi="Times New Roman" w:eastAsia="仿宋_GB2312" w:cs="Times New Roman"/>
                <w:szCs w:val="21"/>
              </w:rPr>
              <w:t>网</w:t>
            </w:r>
            <w:r>
              <w:rPr>
                <w:rFonts w:ascii="Times New Roman" w:hAnsi="Times New Roman" w:eastAsia="仿宋_GB2312" w:cs="Times New Roman"/>
                <w:szCs w:val="21"/>
              </w:rPr>
              <w:t>、巡</w:t>
            </w:r>
            <w:r>
              <w:rPr>
                <w:rFonts w:hint="eastAsia" w:ascii="Times New Roman" w:hAnsi="Times New Roman" w:eastAsia="仿宋_GB2312" w:cs="Times New Roman"/>
                <w:szCs w:val="21"/>
              </w:rPr>
              <w:t>驾驶员</w:t>
            </w:r>
            <w:r>
              <w:rPr>
                <w:rFonts w:ascii="Times New Roman" w:hAnsi="Times New Roman" w:eastAsia="仿宋_GB2312" w:cs="Times New Roman"/>
                <w:szCs w:val="21"/>
              </w:rPr>
              <w:t>证件互认。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第二十八条</w:t>
            </w:r>
            <w:r>
              <w:rPr>
                <w:rFonts w:ascii="Times New Roman" w:hAnsi="Times New Roman" w:eastAsia="仿宋_GB2312" w:cs="Times New Roman"/>
                <w:szCs w:val="21"/>
              </w:rPr>
              <w:t>增加</w:t>
            </w:r>
            <w:r>
              <w:rPr>
                <w:rFonts w:ascii="Times New Roman" w:hAnsi="Times New Roman" w:eastAsia="仿宋_GB2312" w:cs="Times New Roman"/>
                <w:b/>
                <w:szCs w:val="21"/>
              </w:rPr>
              <w:t>“界定聚合平台的承运人责任”</w:t>
            </w:r>
            <w:r>
              <w:rPr>
                <w:rFonts w:ascii="Times New Roman" w:hAnsi="Times New Roman" w:eastAsia="仿宋_GB2312" w:cs="Times New Roman"/>
                <w:szCs w:val="21"/>
              </w:rPr>
              <w:t>的内容。</w:t>
            </w:r>
          </w:p>
        </w:tc>
        <w:tc>
          <w:tcPr>
            <w:tcW w:w="151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采纳</w:t>
            </w:r>
            <w:r>
              <w:rPr>
                <w:rFonts w:hint="eastAsia" w:ascii="Times New Roman" w:hAnsi="Times New Roman" w:eastAsia="仿宋_GB2312" w:cs="Times New Roman"/>
                <w:szCs w:val="21"/>
              </w:rPr>
              <w:t>，在</w:t>
            </w:r>
            <w:r>
              <w:rPr>
                <w:rFonts w:ascii="Times New Roman" w:hAnsi="Times New Roman" w:eastAsia="仿宋_GB2312" w:cs="Times New Roman"/>
                <w:szCs w:val="21"/>
              </w:rPr>
              <w:t>第二十九条增加</w:t>
            </w:r>
            <w:r>
              <w:rPr>
                <w:rFonts w:hint="eastAsia" w:ascii="Times New Roman" w:hAnsi="Times New Roman" w:eastAsia="仿宋_GB2312" w:cs="Times New Roman"/>
                <w:szCs w:val="21"/>
              </w:rPr>
              <w:t>响应</w:t>
            </w:r>
            <w:r>
              <w:rPr>
                <w:rFonts w:ascii="Times New Roman" w:hAnsi="Times New Roman" w:eastAsia="仿宋_GB2312" w:cs="Times New Roman"/>
                <w:szCs w:val="21"/>
              </w:rPr>
              <w:t>内容</w:t>
            </w:r>
          </w:p>
        </w:tc>
        <w:tc>
          <w:tcPr>
            <w:tcW w:w="391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21</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第三十六条</w:t>
            </w:r>
            <w:r>
              <w:rPr>
                <w:rFonts w:ascii="Times New Roman" w:hAnsi="Times New Roman" w:eastAsia="仿宋_GB2312" w:cs="Times New Roman"/>
                <w:szCs w:val="21"/>
              </w:rPr>
              <w:t>增加：</w:t>
            </w:r>
            <w:r>
              <w:rPr>
                <w:rFonts w:ascii="Times New Roman" w:hAnsi="Times New Roman" w:eastAsia="仿宋_GB2312" w:cs="Times New Roman"/>
                <w:b/>
                <w:szCs w:val="21"/>
              </w:rPr>
              <w:t>“网约车平公司应至少七日向社会公布价格调整规制。”</w:t>
            </w:r>
          </w:p>
        </w:tc>
        <w:tc>
          <w:tcPr>
            <w:tcW w:w="151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采纳</w:t>
            </w:r>
            <w:r>
              <w:rPr>
                <w:rFonts w:hint="eastAsia" w:ascii="Times New Roman" w:hAnsi="Times New Roman" w:eastAsia="仿宋_GB2312" w:cs="Times New Roman"/>
                <w:szCs w:val="21"/>
              </w:rPr>
              <w:t>，</w:t>
            </w:r>
            <w:r>
              <w:rPr>
                <w:rFonts w:ascii="Times New Roman" w:hAnsi="Times New Roman" w:eastAsia="仿宋_GB2312" w:cs="Times New Roman"/>
                <w:szCs w:val="21"/>
              </w:rPr>
              <w:t>在第三十七条增加相应内容</w:t>
            </w:r>
          </w:p>
        </w:tc>
        <w:tc>
          <w:tcPr>
            <w:tcW w:w="391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22</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第四十九条</w:t>
            </w:r>
            <w:r>
              <w:rPr>
                <w:rFonts w:ascii="Times New Roman" w:hAnsi="Times New Roman" w:eastAsia="仿宋_GB2312" w:cs="Times New Roman"/>
                <w:szCs w:val="21"/>
              </w:rPr>
              <w:t>增加</w:t>
            </w:r>
            <w:r>
              <w:rPr>
                <w:rFonts w:ascii="Times New Roman" w:hAnsi="Times New Roman" w:eastAsia="仿宋_GB2312" w:cs="Times New Roman"/>
                <w:b/>
                <w:szCs w:val="21"/>
              </w:rPr>
              <w:t>“允许网约车张贴车身标识”</w:t>
            </w:r>
            <w:r>
              <w:rPr>
                <w:rFonts w:ascii="Times New Roman" w:hAnsi="Times New Roman" w:eastAsia="仿宋_GB2312" w:cs="Times New Roman"/>
                <w:szCs w:val="21"/>
              </w:rPr>
              <w:t>的内容。</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国家规定网约车不能巡游揽客，在车身张贴标识，易造成市场混乱，引发巡游和网约出租车间矛盾。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129"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23</w:t>
            </w:r>
          </w:p>
        </w:tc>
        <w:tc>
          <w:tcPr>
            <w:tcW w:w="7222"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建议</w:t>
            </w:r>
            <w:r>
              <w:rPr>
                <w:rFonts w:ascii="Times New Roman" w:hAnsi="Times New Roman" w:eastAsia="仿宋_GB2312" w:cs="Times New Roman"/>
                <w:b/>
                <w:szCs w:val="21"/>
              </w:rPr>
              <w:t>第五十八条</w:t>
            </w:r>
            <w:r>
              <w:rPr>
                <w:rFonts w:ascii="Times New Roman" w:hAnsi="Times New Roman" w:eastAsia="仿宋_GB2312" w:cs="Times New Roman"/>
                <w:szCs w:val="21"/>
              </w:rPr>
              <w:t>明确</w:t>
            </w:r>
            <w:r>
              <w:rPr>
                <w:rFonts w:ascii="Times New Roman" w:hAnsi="Times New Roman" w:eastAsia="仿宋_GB2312" w:cs="Times New Roman"/>
                <w:b/>
                <w:szCs w:val="21"/>
              </w:rPr>
              <w:t>“平台数据信息的证据使用形式”</w:t>
            </w:r>
            <w:r>
              <w:rPr>
                <w:rFonts w:ascii="Times New Roman" w:hAnsi="Times New Roman" w:eastAsia="仿宋_GB2312" w:cs="Times New Roman"/>
                <w:szCs w:val="21"/>
              </w:rPr>
              <w:t>的内容。</w:t>
            </w:r>
          </w:p>
        </w:tc>
        <w:tc>
          <w:tcPr>
            <w:tcW w:w="151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不采纳</w:t>
            </w:r>
          </w:p>
        </w:tc>
        <w:tc>
          <w:tcPr>
            <w:tcW w:w="3910"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原条款只对电子数据可作为执法证据进行明确；涉及行政处罚的，从其它有关法律法规。</w:t>
            </w:r>
          </w:p>
        </w:tc>
      </w:tr>
    </w:tbl>
    <w:p>
      <w:pPr>
        <w:rPr>
          <w:rFonts w:hint="eastAsia" w:ascii="黑体" w:hAnsi="黑体" w:eastAsia="黑体"/>
          <w:sz w:val="32"/>
          <w:szCs w:val="32"/>
        </w:rPr>
      </w:pPr>
    </w:p>
    <w:p/>
    <w:sectPr>
      <w:pgSz w:w="16838" w:h="11906" w:orient="landscape"/>
      <w:pgMar w:top="163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7BFC215"/>
    <w:rsid w:val="485E6FC3"/>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林晓（烟台市大数据中心）</cp:lastModifiedBy>
  <dcterms:modified xsi:type="dcterms:W3CDTF">2023-07-04T07:12:55Z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985CC57D11BA4D61A3DB1A90615EA4DA</vt:lpwstr>
  </property>
</Properties>
</file>